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80" w:lineRule="exact"/>
        <w:ind w:left="310" w:hanging="496" w:hangingChars="155"/>
        <w:jc w:val="center"/>
        <w:rPr>
          <w:rFonts w:hint="eastAsia" w:ascii="宋体" w:hAnsi="宋体"/>
          <w:sz w:val="32"/>
          <w:szCs w:val="32"/>
        </w:rPr>
      </w:pPr>
      <w:r>
        <w:rPr>
          <w:rFonts w:hint="eastAsia" w:ascii="黑体" w:hAnsi="黑体" w:eastAsia="黑体" w:cs="黑体"/>
          <w:bCs/>
          <w:sz w:val="32"/>
        </w:rPr>
        <w:t>茶康养创新应用与国际化微</w:t>
      </w:r>
      <w:bookmarkStart w:id="0" w:name="OLE_LINK20"/>
      <w:bookmarkStart w:id="1" w:name="OLE_LINK19"/>
      <w:r>
        <w:rPr>
          <w:rFonts w:hint="eastAsia" w:ascii="黑体" w:hAnsi="黑体" w:eastAsia="黑体" w:cs="黑体"/>
          <w:bCs/>
          <w:sz w:val="32"/>
        </w:rPr>
        <w:t>专业培养方案</w:t>
      </w:r>
      <w:bookmarkEnd w:id="0"/>
      <w:bookmarkEnd w:id="1"/>
    </w:p>
    <w:p>
      <w:pPr>
        <w:widowControl/>
        <w:spacing w:after="156" w:line="0" w:lineRule="atLeast"/>
        <w:ind w:firstLine="560" w:firstLineChars="200"/>
        <w:jc w:val="left"/>
        <w:rPr>
          <w:rFonts w:hint="default" w:ascii="黑体" w:hAnsi="黑体" w:eastAsia="黑体" w:cs="黑体"/>
          <w:bCs/>
          <w:sz w:val="28"/>
          <w:szCs w:val="28"/>
        </w:rPr>
      </w:pPr>
      <w:r>
        <w:rPr>
          <w:rFonts w:hint="eastAsia" w:ascii="黑体" w:hAnsi="黑体" w:eastAsia="黑体" w:cs="黑体"/>
          <w:bCs/>
          <w:sz w:val="28"/>
          <w:szCs w:val="28"/>
        </w:rPr>
        <w:t>一、专业培养目标</w:t>
      </w:r>
      <w:r>
        <w:rPr>
          <w:rFonts w:hint="default" w:ascii="黑体" w:hAnsi="黑体" w:eastAsia="黑体" w:cs="黑体"/>
          <w:bCs/>
          <w:sz w:val="28"/>
          <w:szCs w:val="28"/>
        </w:rPr>
        <w:t xml:space="preserve"> </w:t>
      </w:r>
    </w:p>
    <w:p>
      <w:pPr>
        <w:widowControl/>
        <w:ind w:firstLine="480" w:firstLineChars="200"/>
        <w:rPr>
          <w:rFonts w:hint="eastAsia" w:ascii="仿宋_GB2312" w:eastAsia="仿宋_GB2312"/>
          <w:sz w:val="24"/>
          <w:szCs w:val="24"/>
        </w:rPr>
      </w:pPr>
      <w:bookmarkStart w:id="2" w:name="OLE_LINK25"/>
      <w:bookmarkStart w:id="3" w:name="OLE_LINK22"/>
      <w:r>
        <w:rPr>
          <w:rFonts w:hint="eastAsia" w:ascii="仿宋_GB2312" w:eastAsia="仿宋_GB2312"/>
          <w:sz w:val="24"/>
          <w:szCs w:val="24"/>
        </w:rPr>
        <w:t>本微专业以“健康中国”战略和茶产业转型升级需求为导向，聚焦茶文化与康养融合领域，培养具备茶学基础知识、茶康养项目设计能力、茶文化传播技能及数字化创新应用能力的复合型人才。</w:t>
      </w:r>
    </w:p>
    <w:p>
      <w:pPr>
        <w:widowControl/>
        <w:ind w:firstLine="480" w:firstLineChars="200"/>
        <w:rPr>
          <w:rFonts w:hint="eastAsia" w:ascii="仿宋_GB2312" w:eastAsia="仿宋_GB2312"/>
          <w:color w:val="FF0000"/>
          <w:sz w:val="24"/>
          <w:szCs w:val="24"/>
        </w:rPr>
      </w:pPr>
      <w:r>
        <w:rPr>
          <w:rFonts w:hint="eastAsia" w:ascii="仿宋_GB2312" w:eastAsia="仿宋_GB2312"/>
          <w:sz w:val="24"/>
          <w:szCs w:val="24"/>
        </w:rPr>
        <w:t>知识目标：通过课程学习，学生将掌握茶叶养生科学原理、茶艺服务与营销技能、虚拟仿真实验技术，并具备跨文化沟通和国际视野，能够胜任茶康养产品开发、茶文化教育、茶旅融合项目策划等岗位需求。</w:t>
      </w:r>
    </w:p>
    <w:p>
      <w:pPr>
        <w:widowControl/>
        <w:ind w:firstLine="480" w:firstLineChars="200"/>
        <w:rPr>
          <w:rFonts w:hint="eastAsia" w:ascii="仿宋_GB2312" w:eastAsia="仿宋_GB2312"/>
          <w:sz w:val="24"/>
          <w:szCs w:val="24"/>
        </w:rPr>
      </w:pPr>
      <w:r>
        <w:rPr>
          <w:rFonts w:hint="eastAsia" w:ascii="仿宋_GB2312" w:eastAsia="仿宋_GB2312"/>
          <w:sz w:val="24"/>
          <w:szCs w:val="24"/>
        </w:rPr>
        <w:t>技能目标：掌握茶康养核心技术，运用茶叶生化、营养学原理设计茶疗方案，完成茶叶品质分析与康养产品开发（如茶饮配方优化、茶疗SPA场景设计）；</w:t>
      </w:r>
    </w:p>
    <w:p>
      <w:pPr>
        <w:widowControl/>
        <w:ind w:firstLine="480" w:firstLineChars="200"/>
        <w:rPr>
          <w:rFonts w:hint="eastAsia" w:ascii="仿宋_GB2312" w:eastAsia="仿宋_GB2312"/>
          <w:sz w:val="24"/>
          <w:szCs w:val="24"/>
        </w:rPr>
      </w:pPr>
      <w:r>
        <w:rPr>
          <w:rFonts w:hint="eastAsia" w:ascii="仿宋_GB2312" w:eastAsia="仿宋_GB2312"/>
          <w:sz w:val="24"/>
          <w:szCs w:val="24"/>
        </w:rPr>
        <w:t>素养目标：通过虚拟仿真技术、跨境电商平台及沉浸式文化体验，策划茶文化国际推广项目（如“一带一路”茶文化节、海外茶品牌IP运营），推动茶文化国际化传播；</w:t>
      </w:r>
    </w:p>
    <w:p>
      <w:pPr>
        <w:widowControl/>
        <w:ind w:firstLine="480" w:firstLineChars="200"/>
        <w:rPr>
          <w:rFonts w:hint="eastAsia" w:ascii="仿宋_GB2312" w:eastAsia="仿宋_GB2312"/>
          <w:sz w:val="24"/>
          <w:szCs w:val="24"/>
        </w:rPr>
      </w:pPr>
      <w:r>
        <w:rPr>
          <w:rFonts w:hint="eastAsia" w:ascii="仿宋_GB2312" w:eastAsia="仿宋_GB2312"/>
          <w:sz w:val="24"/>
          <w:szCs w:val="24"/>
        </w:rPr>
        <w:t>思政目标：激发责任心与使命感，聚集服务产业升级，立足解决茶康养项目策划、茶旅融合开发、国际茶贸易等岗位需求，解决茶产业“健康化、数字化、全球化”转型中的实际问题。</w:t>
      </w:r>
      <w:bookmarkEnd w:id="2"/>
    </w:p>
    <w:bookmarkEnd w:id="3"/>
    <w:p>
      <w:pPr>
        <w:widowControl/>
        <w:spacing w:after="156" w:line="0" w:lineRule="atLeast"/>
        <w:ind w:firstLine="560" w:firstLineChars="200"/>
        <w:jc w:val="left"/>
        <w:rPr>
          <w:rFonts w:hint="eastAsia" w:ascii="黑体" w:hAnsi="黑体" w:eastAsia="黑体" w:cs="黑体"/>
          <w:bCs/>
          <w:sz w:val="28"/>
          <w:szCs w:val="28"/>
        </w:rPr>
      </w:pPr>
      <w:r>
        <w:rPr>
          <w:rFonts w:hint="eastAsia" w:ascii="黑体" w:hAnsi="黑体" w:eastAsia="黑体" w:cs="黑体"/>
          <w:bCs/>
          <w:sz w:val="28"/>
          <w:szCs w:val="28"/>
        </w:rPr>
        <w:t>二、毕业要求</w:t>
      </w:r>
    </w:p>
    <w:p>
      <w:pPr>
        <w:widowControl/>
        <w:spacing w:after="156" w:line="0" w:lineRule="atLeast"/>
        <w:ind w:firstLine="480" w:firstLineChars="200"/>
        <w:jc w:val="left"/>
        <w:rPr>
          <w:rFonts w:hint="eastAsia" w:ascii="仿宋_GB2312" w:eastAsia="仿宋_GB2312"/>
          <w:sz w:val="24"/>
          <w:szCs w:val="24"/>
        </w:rPr>
      </w:pPr>
      <w:r>
        <w:rPr>
          <w:rFonts w:hint="eastAsia" w:ascii="仿宋_GB2312" w:eastAsia="仿宋_GB2312"/>
          <w:sz w:val="24"/>
          <w:szCs w:val="24"/>
        </w:rPr>
        <w:t>学分达标：总学分≥</w:t>
      </w:r>
      <w:r>
        <w:rPr>
          <w:rFonts w:hint="default" w:ascii="仿宋_GB2312" w:eastAsia="仿宋_GB2312"/>
          <w:sz w:val="24"/>
          <w:szCs w:val="24"/>
        </w:rPr>
        <w:t>8</w:t>
      </w:r>
      <w:r>
        <w:rPr>
          <w:rFonts w:hint="eastAsia" w:ascii="仿宋_GB2312" w:eastAsia="仿宋_GB2312"/>
          <w:sz w:val="24"/>
          <w:szCs w:val="24"/>
        </w:rPr>
        <w:t>学分。</w:t>
      </w:r>
      <w:bookmarkStart w:id="4" w:name="OLE_LINK39"/>
      <w:r>
        <w:rPr>
          <w:rFonts w:hint="eastAsia" w:ascii="仿宋_GB2312" w:eastAsia="仿宋_GB2312"/>
          <w:sz w:val="24"/>
          <w:szCs w:val="24"/>
        </w:rPr>
        <w:t>能力认证证书</w:t>
      </w:r>
      <w:r>
        <w:rPr>
          <w:rFonts w:hint="eastAsia" w:ascii="仿宋_GB2312" w:eastAsia="仿宋_GB2312"/>
          <w:sz w:val="24"/>
          <w:szCs w:val="24"/>
          <w:lang w:val="en-US" w:eastAsia="zh-CN"/>
        </w:rPr>
        <w:t>达标</w:t>
      </w:r>
      <w:r>
        <w:rPr>
          <w:rFonts w:hint="eastAsia" w:ascii="仿宋_GB2312" w:eastAsia="仿宋_GB2312"/>
          <w:sz w:val="24"/>
          <w:szCs w:val="24"/>
        </w:rPr>
        <w:t>：</w:t>
      </w:r>
      <w:r>
        <w:rPr>
          <w:rFonts w:hint="eastAsia" w:ascii="仿宋_GB2312" w:eastAsia="仿宋_GB2312"/>
          <w:sz w:val="24"/>
          <w:szCs w:val="24"/>
          <w:lang w:val="en-US" w:eastAsia="zh-CN"/>
        </w:rPr>
        <w:t>二</w:t>
      </w:r>
      <w:r>
        <w:rPr>
          <w:rFonts w:hint="eastAsia" w:ascii="仿宋_GB2312" w:eastAsia="仿宋_GB2312"/>
          <w:sz w:val="24"/>
          <w:szCs w:val="24"/>
        </w:rPr>
        <w:t>个证书</w:t>
      </w:r>
      <w:r>
        <w:rPr>
          <w:rFonts w:hint="eastAsia" w:ascii="仿宋_GB2312" w:eastAsia="仿宋_GB2312"/>
          <w:sz w:val="24"/>
          <w:szCs w:val="24"/>
          <w:lang w:val="en-US" w:eastAsia="zh-CN"/>
        </w:rPr>
        <w:t>必考一个证书</w:t>
      </w:r>
      <w:r>
        <w:rPr>
          <w:rFonts w:hint="eastAsia" w:ascii="仿宋_GB2312" w:eastAsia="仿宋_GB2312"/>
          <w:sz w:val="24"/>
          <w:szCs w:val="24"/>
        </w:rPr>
        <w:t>和推荐申请</w:t>
      </w:r>
      <w:r>
        <w:rPr>
          <w:rFonts w:hint="eastAsia" w:ascii="仿宋_GB2312" w:eastAsia="仿宋_GB2312"/>
          <w:sz w:val="24"/>
          <w:szCs w:val="24"/>
          <w:lang w:val="en-US" w:eastAsia="zh-CN"/>
        </w:rPr>
        <w:t>一</w:t>
      </w:r>
      <w:r>
        <w:rPr>
          <w:rFonts w:hint="eastAsia" w:ascii="仿宋_GB2312" w:eastAsia="仿宋_GB2312"/>
          <w:sz w:val="24"/>
          <w:szCs w:val="24"/>
        </w:rPr>
        <w:t>个证书。</w:t>
      </w:r>
      <w:r>
        <w:rPr>
          <w:rFonts w:hint="eastAsia" w:ascii="仿宋_GB2312" w:eastAsia="仿宋_GB2312"/>
          <w:sz w:val="24"/>
          <w:szCs w:val="24"/>
          <w:lang w:val="en-US" w:eastAsia="zh-CN"/>
        </w:rPr>
        <w:t>证书</w:t>
      </w:r>
      <w:r>
        <w:rPr>
          <w:rFonts w:hint="eastAsia" w:ascii="仿宋_GB2312" w:eastAsia="仿宋_GB2312"/>
          <w:sz w:val="24"/>
          <w:szCs w:val="24"/>
        </w:rPr>
        <w:t>为教育部国家CVCC茶文化服务礼仪水平证书(中级及中级以上)</w:t>
      </w:r>
      <w:r>
        <w:rPr>
          <w:rFonts w:hint="eastAsia" w:ascii="仿宋_GB2312" w:eastAsia="仿宋_GB2312"/>
          <w:sz w:val="24"/>
          <w:szCs w:val="24"/>
          <w:lang w:eastAsia="zh-CN"/>
        </w:rPr>
        <w:t>、</w:t>
      </w:r>
      <w:r>
        <w:rPr>
          <w:rFonts w:hint="eastAsia" w:ascii="仿宋_GB2312" w:eastAsia="仿宋_GB2312"/>
          <w:sz w:val="24"/>
          <w:szCs w:val="24"/>
        </w:rPr>
        <w:t>茶艺相关等级证</w:t>
      </w:r>
      <w:r>
        <w:rPr>
          <w:rFonts w:hint="eastAsia" w:ascii="仿宋_GB2312" w:eastAsia="仿宋_GB2312"/>
          <w:sz w:val="24"/>
          <w:szCs w:val="24"/>
          <w:lang w:eastAsia="zh-CN"/>
        </w:rPr>
        <w:t>（</w:t>
      </w:r>
      <w:r>
        <w:rPr>
          <w:rFonts w:hint="eastAsia" w:ascii="仿宋_GB2312" w:eastAsia="仿宋_GB2312"/>
          <w:sz w:val="24"/>
          <w:szCs w:val="24"/>
        </w:rPr>
        <w:t>中级或中级以上)。实践达标：第一，完成至少1项茶康养方案设计（如社区茶疗服务包、茶旅IP策划）并通过答辩；第二，参与跨境茶文化传播项目（如TikTok茶文化短视频制作、国际茶展双语导览）并提交案例报告。</w:t>
      </w:r>
      <w:bookmarkEnd w:id="4"/>
    </w:p>
    <w:p>
      <w:pPr>
        <w:spacing w:before="156" w:beforeLines="50" w:after="156" w:afterLines="50" w:line="480" w:lineRule="exact"/>
        <w:ind w:firstLine="560" w:firstLineChars="200"/>
        <w:rPr>
          <w:rFonts w:hint="eastAsia" w:ascii="宋体" w:hAnsi="宋体"/>
          <w:b/>
          <w:sz w:val="28"/>
          <w:szCs w:val="28"/>
        </w:rPr>
      </w:pPr>
      <w:r>
        <w:rPr>
          <w:rFonts w:hint="eastAsia" w:ascii="黑体" w:hAnsi="黑体" w:eastAsia="黑体" w:cs="黑体"/>
          <w:bCs/>
          <w:sz w:val="28"/>
          <w:szCs w:val="28"/>
        </w:rPr>
        <w:t>三、招生对象与条件</w:t>
      </w:r>
    </w:p>
    <w:p>
      <w:pPr>
        <w:widowControl/>
        <w:ind w:firstLine="480" w:firstLineChars="200"/>
        <w:rPr>
          <w:rFonts w:hint="eastAsia" w:ascii="仿宋_GB2312" w:eastAsia="仿宋_GB2312"/>
          <w:sz w:val="24"/>
          <w:szCs w:val="24"/>
        </w:rPr>
      </w:pPr>
      <w:r>
        <w:rPr>
          <w:rFonts w:hint="eastAsia" w:ascii="仿宋_GB2312" w:eastAsia="仿宋_GB2312"/>
          <w:sz w:val="24"/>
          <w:szCs w:val="24"/>
        </w:rPr>
        <w:t>招生对象：</w:t>
      </w:r>
      <w:bookmarkStart w:id="5" w:name="OLE_LINK24"/>
      <w:r>
        <w:rPr>
          <w:rFonts w:hint="eastAsia" w:ascii="仿宋_GB2312" w:eastAsia="仿宋_GB2312"/>
          <w:sz w:val="24"/>
          <w:szCs w:val="24"/>
        </w:rPr>
        <w:t>丽水学院</w:t>
      </w:r>
      <w:r>
        <w:rPr>
          <w:rFonts w:hint="eastAsia" w:ascii="仿宋_GB2312" w:eastAsia="仿宋_GB2312"/>
          <w:sz w:val="24"/>
          <w:szCs w:val="24"/>
          <w:lang w:val="en-US" w:eastAsia="zh-CN"/>
        </w:rPr>
        <w:t>全校</w:t>
      </w:r>
      <w:r>
        <w:rPr>
          <w:rFonts w:hint="eastAsia" w:ascii="仿宋_GB2312" w:eastAsia="仿宋_GB2312"/>
          <w:sz w:val="24"/>
          <w:szCs w:val="24"/>
        </w:rPr>
        <w:t>本科在读生（旅游管理、国际贸易、电子商务、陶瓷艺术设计、护理学、生态学、中医康复学、小学教育等相关专业优先）；丽水学院在读本科留学生（旅游管理、国际贸易、电子商务、计算机管理等相关专业优先）。前置课程要求包括但不限于下列之一者：实验室开放项目课程《钱江源-百册祖国家公园茶康养虚拟仿真开放实验》、《茶叶科学概论》、《客源国概况》、《跨文化交际概论》、《旅游礼仪》、《商务礼仪》、《基础营养学》《中医养生学导论》等。</w:t>
      </w:r>
      <w:bookmarkEnd w:id="5"/>
    </w:p>
    <w:p>
      <w:pPr>
        <w:spacing w:before="156" w:beforeLines="50" w:after="156" w:afterLines="50" w:line="480" w:lineRule="exact"/>
        <w:ind w:firstLine="560" w:firstLineChars="200"/>
        <w:rPr>
          <w:rFonts w:hint="eastAsia" w:ascii="黑体" w:hAnsi="黑体" w:eastAsia="黑体" w:cs="黑体"/>
          <w:bCs/>
          <w:sz w:val="28"/>
          <w:szCs w:val="28"/>
        </w:rPr>
      </w:pPr>
      <w:r>
        <w:rPr>
          <w:rFonts w:hint="eastAsia" w:ascii="黑体" w:hAnsi="黑体" w:eastAsia="黑体" w:cs="黑体"/>
          <w:bCs/>
          <w:sz w:val="28"/>
          <w:szCs w:val="28"/>
        </w:rPr>
        <w:t>四、学分与证书</w:t>
      </w:r>
    </w:p>
    <w:p>
      <w:pPr>
        <w:widowControl/>
        <w:spacing w:after="156" w:line="0" w:lineRule="atLeast"/>
        <w:ind w:firstLine="480" w:firstLineChars="200"/>
        <w:jc w:val="left"/>
        <w:rPr>
          <w:rFonts w:ascii="宋体" w:hAnsi="宋体"/>
          <w:bCs/>
          <w:sz w:val="28"/>
          <w:szCs w:val="28"/>
        </w:rPr>
      </w:pPr>
      <w:bookmarkStart w:id="6" w:name="OLE_LINK66"/>
      <w:r>
        <w:rPr>
          <w:rFonts w:hint="eastAsia" w:ascii="仿宋_GB2312" w:eastAsia="仿宋_GB2312"/>
          <w:sz w:val="24"/>
          <w:szCs w:val="24"/>
        </w:rPr>
        <w:t>学分：本微专业学分</w:t>
      </w:r>
      <w:r>
        <w:rPr>
          <w:rFonts w:hint="eastAsia" w:ascii="仿宋_GB2312" w:eastAsia="仿宋_GB2312"/>
          <w:sz w:val="24"/>
          <w:szCs w:val="24"/>
          <w:lang w:val="en-US" w:eastAsia="zh-CN"/>
        </w:rPr>
        <w:t>必须</w:t>
      </w:r>
      <w:r>
        <w:rPr>
          <w:rFonts w:hint="eastAsia" w:ascii="仿宋_GB2312" w:eastAsia="仿宋_GB2312"/>
          <w:sz w:val="24"/>
          <w:szCs w:val="24"/>
        </w:rPr>
        <w:t>≥</w:t>
      </w:r>
      <w:r>
        <w:rPr>
          <w:rFonts w:hint="default" w:ascii="仿宋_GB2312" w:eastAsia="仿宋_GB2312"/>
          <w:sz w:val="24"/>
          <w:szCs w:val="24"/>
        </w:rPr>
        <w:t>8</w:t>
      </w:r>
      <w:r>
        <w:rPr>
          <w:rFonts w:hint="eastAsia" w:ascii="仿宋_GB2312" w:eastAsia="仿宋_GB2312"/>
          <w:sz w:val="24"/>
          <w:szCs w:val="24"/>
          <w:lang w:val="en-US" w:eastAsia="zh-CN"/>
        </w:rPr>
        <w:t>学分以上。</w:t>
      </w:r>
      <w:r>
        <w:rPr>
          <w:rFonts w:hint="eastAsia" w:ascii="仿宋_GB2312" w:eastAsia="仿宋_GB2312"/>
          <w:sz w:val="24"/>
          <w:szCs w:val="24"/>
        </w:rPr>
        <w:t>证书：学生完成微专业培养方案的相应课程并达到学习要求；</w:t>
      </w:r>
      <w:r>
        <w:rPr>
          <w:rFonts w:hint="eastAsia" w:ascii="仿宋_GB2312" w:eastAsia="仿宋_GB2312"/>
          <w:sz w:val="24"/>
          <w:szCs w:val="24"/>
          <w:lang w:val="en-US" w:eastAsia="zh-CN"/>
        </w:rPr>
        <w:t>获得至少获得一个能力认证证书。</w:t>
      </w:r>
      <w:r>
        <w:rPr>
          <w:rFonts w:hint="eastAsia" w:ascii="仿宋_GB2312" w:eastAsia="仿宋_GB2312"/>
          <w:sz w:val="24"/>
          <w:szCs w:val="24"/>
        </w:rPr>
        <w:t>由微专业所在学院审核后提出结业名单，报教务处备案，由</w:t>
      </w:r>
      <w:r>
        <w:rPr>
          <w:rFonts w:hint="eastAsia" w:ascii="仿宋_GB2312" w:eastAsia="仿宋_GB2312"/>
          <w:sz w:val="24"/>
          <w:szCs w:val="24"/>
          <w:lang w:val="en-US" w:eastAsia="zh-CN"/>
        </w:rPr>
        <w:t>发</w:t>
      </w:r>
      <w:r>
        <w:rPr>
          <w:rFonts w:hint="eastAsia" w:ascii="仿宋_GB2312" w:eastAsia="仿宋_GB2312"/>
          <w:sz w:val="24"/>
          <w:szCs w:val="24"/>
        </w:rPr>
        <w:t>放微专业结业证书。</w:t>
      </w:r>
      <w:bookmarkEnd w:id="6"/>
    </w:p>
    <w:p>
      <w:pPr>
        <w:widowControl/>
        <w:spacing w:after="156" w:line="0" w:lineRule="atLeast"/>
        <w:ind w:firstLine="560" w:firstLineChars="200"/>
        <w:jc w:val="left"/>
        <w:rPr>
          <w:rFonts w:ascii="黑体" w:hAnsi="黑体" w:eastAsia="黑体" w:cs="黑体"/>
          <w:bCs/>
          <w:sz w:val="28"/>
          <w:szCs w:val="28"/>
        </w:rPr>
      </w:pPr>
      <w:r>
        <w:rPr>
          <w:rFonts w:hint="eastAsia" w:ascii="黑体" w:hAnsi="黑体" w:eastAsia="黑体" w:cs="黑体"/>
          <w:bCs/>
          <w:sz w:val="28"/>
          <w:szCs w:val="28"/>
        </w:rPr>
        <w:t>五、修读年限</w:t>
      </w:r>
    </w:p>
    <w:p>
      <w:pPr>
        <w:widowControl/>
        <w:spacing w:after="156" w:line="0" w:lineRule="atLeast"/>
        <w:ind w:firstLine="560" w:firstLineChars="200"/>
        <w:jc w:val="left"/>
        <w:rPr>
          <w:rFonts w:hint="eastAsia" w:ascii="黑体" w:hAnsi="黑体" w:eastAsia="黑体" w:cs="黑体"/>
          <w:bCs/>
          <w:sz w:val="28"/>
          <w:szCs w:val="28"/>
        </w:rPr>
      </w:pPr>
      <w:r>
        <w:rPr>
          <w:rFonts w:hint="eastAsia" w:ascii="黑体" w:hAnsi="黑体" w:eastAsia="黑体" w:cs="黑体"/>
          <w:bCs/>
          <w:sz w:val="28"/>
          <w:szCs w:val="28"/>
        </w:rPr>
        <w:t>一年</w:t>
      </w:r>
    </w:p>
    <w:p>
      <w:pPr>
        <w:spacing w:before="156" w:beforeLines="50" w:after="156" w:afterLines="50" w:line="480" w:lineRule="exact"/>
        <w:ind w:firstLine="560" w:firstLineChars="200"/>
        <w:rPr>
          <w:rFonts w:hint="eastAsia" w:ascii="黑体" w:hAnsi="黑体" w:eastAsia="黑体" w:cs="黑体"/>
          <w:bCs/>
          <w:sz w:val="28"/>
          <w:szCs w:val="28"/>
        </w:rPr>
      </w:pPr>
      <w:r>
        <w:rPr>
          <w:rFonts w:hint="eastAsia" w:ascii="黑体" w:hAnsi="黑体" w:eastAsia="黑体" w:cs="黑体"/>
          <w:bCs/>
          <w:sz w:val="28"/>
          <w:szCs w:val="28"/>
        </w:rPr>
        <w:t>六、课程设置</w:t>
      </w:r>
    </w:p>
    <w:p>
      <w:pPr>
        <w:widowControl/>
        <w:spacing w:after="156" w:line="0" w:lineRule="atLeast"/>
        <w:jc w:val="center"/>
        <w:rPr>
          <w:rFonts w:hint="eastAsia" w:ascii="黑体" w:hAnsi="黑体" w:eastAsia="黑体" w:cs="黑体"/>
          <w:bCs/>
          <w:sz w:val="28"/>
          <w:szCs w:val="28"/>
        </w:rPr>
      </w:pPr>
      <w:bookmarkStart w:id="7" w:name="OLE_LINK43"/>
      <w:bookmarkStart w:id="8" w:name="OLE_LINK42"/>
      <w:r>
        <w:rPr>
          <w:rFonts w:hint="eastAsia" w:ascii="黑体" w:hAnsi="黑体" w:eastAsia="黑体" w:cs="黑体"/>
          <w:bCs/>
          <w:sz w:val="28"/>
          <w:szCs w:val="28"/>
        </w:rPr>
        <w:t>茶康养创新应用与国际化</w:t>
      </w:r>
      <w:bookmarkEnd w:id="7"/>
      <w:bookmarkEnd w:id="8"/>
      <w:r>
        <w:rPr>
          <w:rFonts w:hint="eastAsia" w:ascii="黑体" w:hAnsi="黑体" w:eastAsia="黑体" w:cs="黑体"/>
          <w:bCs/>
          <w:sz w:val="28"/>
          <w:szCs w:val="28"/>
        </w:rPr>
        <w:t>微专业课程设置及教学进程计划表</w:t>
      </w:r>
    </w:p>
    <w:tbl>
      <w:tblPr>
        <w:tblStyle w:val="2"/>
        <w:tblW w:w="95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423"/>
        <w:gridCol w:w="510"/>
        <w:gridCol w:w="470"/>
        <w:gridCol w:w="473"/>
        <w:gridCol w:w="567"/>
        <w:gridCol w:w="567"/>
        <w:gridCol w:w="425"/>
        <w:gridCol w:w="709"/>
        <w:gridCol w:w="709"/>
        <w:gridCol w:w="709"/>
        <w:gridCol w:w="790"/>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vMerge w:val="restart"/>
            <w:tcBorders>
              <w:bottom w:val="single" w:color="auto" w:sz="4" w:space="0"/>
            </w:tcBorders>
            <w:noWrap w:val="0"/>
            <w:vAlign w:val="center"/>
          </w:tcPr>
          <w:p>
            <w:pPr>
              <w:widowControl/>
              <w:jc w:val="center"/>
              <w:rPr>
                <w:rFonts w:hint="eastAsia" w:ascii="黑体" w:hAnsi="黑体" w:eastAsia="黑体"/>
                <w:bCs/>
                <w:spacing w:val="20"/>
                <w:sz w:val="18"/>
                <w:szCs w:val="18"/>
              </w:rPr>
            </w:pPr>
            <w:bookmarkStart w:id="9" w:name="OLE_LINK103" w:colFirst="0" w:colLast="76"/>
            <w:bookmarkStart w:id="10" w:name="_Hlk193675057"/>
            <w:bookmarkStart w:id="11" w:name="OLE_LINK104" w:colFirst="0" w:colLast="76"/>
            <w:bookmarkStart w:id="12" w:name="OLE_LINK109"/>
            <w:bookmarkStart w:id="13" w:name="OLE_LINK110"/>
            <w:r>
              <w:rPr>
                <w:rFonts w:hint="eastAsia" w:ascii="黑体" w:hAnsi="黑体" w:eastAsia="黑体"/>
                <w:bCs/>
                <w:sz w:val="18"/>
                <w:szCs w:val="18"/>
              </w:rPr>
              <w:t>课程名称</w:t>
            </w:r>
          </w:p>
        </w:tc>
        <w:tc>
          <w:tcPr>
            <w:tcW w:w="1423" w:type="dxa"/>
            <w:vMerge w:val="restart"/>
            <w:noWrap w:val="0"/>
            <w:vAlign w:val="center"/>
          </w:tcPr>
          <w:p>
            <w:pPr>
              <w:widowControl/>
              <w:jc w:val="center"/>
              <w:rPr>
                <w:rFonts w:hint="eastAsia" w:ascii="黑体" w:hAnsi="黑体" w:eastAsia="黑体"/>
                <w:bCs/>
                <w:sz w:val="18"/>
                <w:szCs w:val="18"/>
              </w:rPr>
            </w:pPr>
            <w:r>
              <w:rPr>
                <w:rFonts w:hint="eastAsia" w:ascii="黑体" w:hAnsi="黑体" w:eastAsia="黑体"/>
                <w:bCs/>
                <w:sz w:val="18"/>
                <w:szCs w:val="18"/>
              </w:rPr>
              <w:t>课程代码</w:t>
            </w:r>
          </w:p>
        </w:tc>
        <w:tc>
          <w:tcPr>
            <w:tcW w:w="510" w:type="dxa"/>
            <w:vMerge w:val="restart"/>
            <w:tcBorders>
              <w:bottom w:val="single" w:color="auto" w:sz="4" w:space="0"/>
            </w:tcBorders>
            <w:noWrap w:val="0"/>
            <w:vAlign w:val="center"/>
          </w:tcPr>
          <w:p>
            <w:pPr>
              <w:widowControl/>
              <w:jc w:val="center"/>
              <w:rPr>
                <w:rFonts w:hint="eastAsia" w:ascii="黑体" w:hAnsi="黑体" w:eastAsia="黑体"/>
                <w:bCs/>
                <w:spacing w:val="20"/>
                <w:sz w:val="18"/>
                <w:szCs w:val="18"/>
              </w:rPr>
            </w:pPr>
            <w:r>
              <w:rPr>
                <w:rFonts w:hint="eastAsia" w:ascii="黑体" w:hAnsi="黑体" w:eastAsia="黑体"/>
                <w:bCs/>
                <w:sz w:val="18"/>
                <w:szCs w:val="18"/>
              </w:rPr>
              <w:t>学分</w:t>
            </w:r>
          </w:p>
        </w:tc>
        <w:tc>
          <w:tcPr>
            <w:tcW w:w="470" w:type="dxa"/>
            <w:vMerge w:val="restart"/>
            <w:noWrap w:val="0"/>
            <w:vAlign w:val="center"/>
          </w:tcPr>
          <w:p>
            <w:pPr>
              <w:widowControl/>
              <w:jc w:val="center"/>
              <w:rPr>
                <w:rFonts w:hint="eastAsia" w:ascii="黑体" w:hAnsi="黑体" w:eastAsia="黑体"/>
                <w:bCs/>
                <w:sz w:val="18"/>
                <w:szCs w:val="18"/>
              </w:rPr>
            </w:pPr>
            <w:r>
              <w:rPr>
                <w:rFonts w:ascii="黑体" w:hAnsi="黑体" w:eastAsia="黑体"/>
                <w:bCs/>
                <w:sz w:val="18"/>
              </w:rPr>
              <w:t>总学时</w:t>
            </w:r>
          </w:p>
        </w:tc>
        <w:tc>
          <w:tcPr>
            <w:tcW w:w="2032" w:type="dxa"/>
            <w:gridSpan w:val="4"/>
            <w:tcBorders>
              <w:bottom w:val="single" w:color="auto" w:sz="4" w:space="0"/>
            </w:tcBorders>
            <w:noWrap w:val="0"/>
            <w:vAlign w:val="center"/>
          </w:tcPr>
          <w:p>
            <w:pPr>
              <w:widowControl/>
              <w:jc w:val="center"/>
              <w:rPr>
                <w:rFonts w:hint="eastAsia" w:ascii="黑体" w:hAnsi="黑体" w:eastAsia="黑体"/>
                <w:bCs/>
                <w:spacing w:val="20"/>
                <w:sz w:val="18"/>
                <w:szCs w:val="18"/>
              </w:rPr>
            </w:pPr>
            <w:r>
              <w:rPr>
                <w:rFonts w:ascii="黑体" w:hAnsi="黑体" w:eastAsia="黑体"/>
                <w:bCs/>
                <w:spacing w:val="75"/>
                <w:kern w:val="0"/>
                <w:sz w:val="18"/>
                <w:szCs w:val="18"/>
                <w:fitText w:val="840" w:id="1330266637"/>
              </w:rPr>
              <w:t>学时</w:t>
            </w:r>
            <w:r>
              <w:rPr>
                <w:rFonts w:hint="eastAsia" w:ascii="黑体" w:hAnsi="黑体" w:eastAsia="黑体"/>
                <w:bCs/>
                <w:spacing w:val="0"/>
                <w:kern w:val="0"/>
                <w:sz w:val="18"/>
                <w:szCs w:val="18"/>
                <w:fitText w:val="840" w:id="1330266637"/>
              </w:rPr>
              <w:t>分</w:t>
            </w:r>
            <w:r>
              <w:rPr>
                <w:rFonts w:hint="eastAsia" w:ascii="黑体" w:hAnsi="黑体" w:eastAsia="黑体"/>
                <w:bCs/>
                <w:sz w:val="18"/>
                <w:szCs w:val="18"/>
              </w:rPr>
              <w:t xml:space="preserve"> 配</w:t>
            </w:r>
          </w:p>
        </w:tc>
        <w:tc>
          <w:tcPr>
            <w:tcW w:w="709" w:type="dxa"/>
            <w:vMerge w:val="restart"/>
            <w:noWrap w:val="0"/>
            <w:vAlign w:val="center"/>
          </w:tcPr>
          <w:p>
            <w:pPr>
              <w:jc w:val="center"/>
              <w:rPr>
                <w:rFonts w:hint="eastAsia" w:ascii="黑体" w:hAnsi="黑体" w:eastAsia="黑体"/>
                <w:bCs/>
                <w:spacing w:val="20"/>
                <w:sz w:val="18"/>
                <w:szCs w:val="18"/>
              </w:rPr>
            </w:pPr>
            <w:r>
              <w:rPr>
                <w:rFonts w:hint="eastAsia" w:ascii="黑体" w:hAnsi="黑体" w:eastAsia="黑体"/>
                <w:bCs/>
                <w:sz w:val="18"/>
                <w:szCs w:val="18"/>
              </w:rPr>
              <w:t>线上学时</w:t>
            </w:r>
          </w:p>
        </w:tc>
        <w:tc>
          <w:tcPr>
            <w:tcW w:w="709" w:type="dxa"/>
            <w:vMerge w:val="restart"/>
            <w:noWrap w:val="0"/>
            <w:vAlign w:val="center"/>
          </w:tcPr>
          <w:p>
            <w:pPr>
              <w:jc w:val="center"/>
              <w:rPr>
                <w:rFonts w:hint="eastAsia" w:ascii="黑体" w:hAnsi="黑体" w:eastAsia="黑体"/>
                <w:bCs/>
                <w:spacing w:val="20"/>
                <w:sz w:val="18"/>
                <w:szCs w:val="18"/>
              </w:rPr>
            </w:pPr>
            <w:r>
              <w:rPr>
                <w:rFonts w:hint="eastAsia" w:ascii="黑体" w:hAnsi="黑体" w:eastAsia="黑体"/>
                <w:bCs/>
                <w:sz w:val="18"/>
                <w:szCs w:val="18"/>
              </w:rPr>
              <w:t>线下学时</w:t>
            </w:r>
          </w:p>
        </w:tc>
        <w:tc>
          <w:tcPr>
            <w:tcW w:w="709" w:type="dxa"/>
            <w:vMerge w:val="restart"/>
            <w:tcBorders>
              <w:bottom w:val="single" w:color="auto" w:sz="4" w:space="0"/>
            </w:tcBorders>
            <w:noWrap w:val="0"/>
            <w:vAlign w:val="center"/>
          </w:tcPr>
          <w:p>
            <w:pPr>
              <w:widowControl/>
              <w:snapToGrid w:val="0"/>
              <w:jc w:val="center"/>
              <w:rPr>
                <w:rFonts w:ascii="黑体" w:hAnsi="黑体" w:eastAsia="黑体"/>
                <w:bCs/>
                <w:sz w:val="18"/>
                <w:szCs w:val="18"/>
              </w:rPr>
            </w:pPr>
            <w:r>
              <w:rPr>
                <w:rFonts w:hint="eastAsia" w:ascii="黑体" w:hAnsi="黑体" w:eastAsia="黑体"/>
                <w:bCs/>
                <w:sz w:val="18"/>
                <w:szCs w:val="18"/>
              </w:rPr>
              <w:t>考核</w:t>
            </w:r>
          </w:p>
          <w:p>
            <w:pPr>
              <w:widowControl/>
              <w:jc w:val="center"/>
              <w:rPr>
                <w:rFonts w:hint="eastAsia" w:ascii="黑体" w:hAnsi="黑体" w:eastAsia="黑体"/>
                <w:bCs/>
                <w:spacing w:val="20"/>
                <w:sz w:val="18"/>
                <w:szCs w:val="18"/>
              </w:rPr>
            </w:pPr>
            <w:r>
              <w:rPr>
                <w:rFonts w:hint="eastAsia" w:ascii="黑体" w:hAnsi="黑体" w:eastAsia="黑体"/>
                <w:bCs/>
                <w:sz w:val="18"/>
                <w:szCs w:val="18"/>
              </w:rPr>
              <w:t>方式</w:t>
            </w:r>
          </w:p>
        </w:tc>
        <w:tc>
          <w:tcPr>
            <w:tcW w:w="790" w:type="dxa"/>
            <w:vMerge w:val="restart"/>
            <w:tcBorders>
              <w:bottom w:val="single" w:color="auto" w:sz="4" w:space="0"/>
            </w:tcBorders>
            <w:noWrap w:val="0"/>
            <w:vAlign w:val="center"/>
          </w:tcPr>
          <w:p>
            <w:pPr>
              <w:widowControl/>
              <w:jc w:val="center"/>
              <w:rPr>
                <w:rFonts w:hint="eastAsia" w:ascii="黑体" w:hAnsi="黑体" w:eastAsia="黑体"/>
                <w:bCs/>
                <w:spacing w:val="20"/>
                <w:sz w:val="18"/>
                <w:szCs w:val="18"/>
              </w:rPr>
            </w:pPr>
            <w:r>
              <w:rPr>
                <w:rFonts w:hint="eastAsia" w:ascii="黑体" w:hAnsi="黑体" w:eastAsia="黑体"/>
                <w:bCs/>
                <w:spacing w:val="20"/>
                <w:sz w:val="18"/>
                <w:szCs w:val="18"/>
              </w:rPr>
              <w:t>课程性质</w:t>
            </w:r>
          </w:p>
        </w:tc>
        <w:tc>
          <w:tcPr>
            <w:tcW w:w="716" w:type="dxa"/>
            <w:vMerge w:val="restart"/>
            <w:tcBorders>
              <w:bottom w:val="single" w:color="auto" w:sz="4" w:space="0"/>
            </w:tcBorders>
            <w:noWrap w:val="0"/>
            <w:vAlign w:val="center"/>
          </w:tcPr>
          <w:p>
            <w:pPr>
              <w:widowControl/>
              <w:snapToGrid w:val="0"/>
              <w:jc w:val="center"/>
              <w:rPr>
                <w:rFonts w:ascii="黑体" w:hAnsi="黑体" w:eastAsia="黑体"/>
                <w:bCs/>
                <w:sz w:val="18"/>
                <w:szCs w:val="18"/>
              </w:rPr>
            </w:pPr>
            <w:r>
              <w:rPr>
                <w:rFonts w:ascii="黑体" w:hAnsi="黑体" w:eastAsia="黑体"/>
                <w:bCs/>
                <w:sz w:val="18"/>
                <w:szCs w:val="18"/>
              </w:rPr>
              <w:t>开课</w:t>
            </w:r>
          </w:p>
          <w:p>
            <w:pPr>
              <w:widowControl/>
              <w:jc w:val="center"/>
              <w:rPr>
                <w:rFonts w:hint="eastAsia" w:ascii="黑体" w:hAnsi="黑体" w:eastAsia="黑体"/>
                <w:bCs/>
                <w:spacing w:val="20"/>
                <w:sz w:val="18"/>
                <w:szCs w:val="18"/>
              </w:rPr>
            </w:pPr>
            <w:r>
              <w:rPr>
                <w:rFonts w:hint="eastAsia" w:ascii="黑体" w:hAnsi="黑体" w:eastAsia="黑体"/>
                <w:bCs/>
                <w:sz w:val="18"/>
                <w:szCs w:val="18"/>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468" w:type="dxa"/>
            <w:vMerge w:val="continue"/>
            <w:noWrap w:val="0"/>
            <w:vAlign w:val="center"/>
          </w:tcPr>
          <w:p>
            <w:pPr>
              <w:widowControl/>
              <w:jc w:val="center"/>
              <w:rPr>
                <w:rFonts w:hint="eastAsia" w:ascii="仿宋" w:hAnsi="仿宋" w:eastAsia="仿宋"/>
                <w:b/>
                <w:spacing w:val="20"/>
                <w:sz w:val="21"/>
                <w:szCs w:val="21"/>
              </w:rPr>
            </w:pPr>
          </w:p>
        </w:tc>
        <w:tc>
          <w:tcPr>
            <w:tcW w:w="1423" w:type="dxa"/>
            <w:vMerge w:val="continue"/>
            <w:noWrap w:val="0"/>
            <w:vAlign w:val="center"/>
          </w:tcPr>
          <w:p>
            <w:pPr>
              <w:widowControl/>
              <w:jc w:val="center"/>
              <w:rPr>
                <w:rFonts w:hint="eastAsia" w:ascii="仿宋" w:hAnsi="仿宋" w:eastAsia="仿宋"/>
                <w:b/>
                <w:spacing w:val="20"/>
                <w:sz w:val="21"/>
                <w:szCs w:val="21"/>
              </w:rPr>
            </w:pPr>
          </w:p>
        </w:tc>
        <w:tc>
          <w:tcPr>
            <w:tcW w:w="510" w:type="dxa"/>
            <w:vMerge w:val="continue"/>
            <w:noWrap w:val="0"/>
            <w:vAlign w:val="center"/>
          </w:tcPr>
          <w:p>
            <w:pPr>
              <w:widowControl/>
              <w:jc w:val="center"/>
              <w:rPr>
                <w:rFonts w:hint="eastAsia" w:ascii="仿宋" w:hAnsi="仿宋" w:eastAsia="仿宋"/>
                <w:b/>
                <w:spacing w:val="20"/>
                <w:sz w:val="21"/>
                <w:szCs w:val="21"/>
              </w:rPr>
            </w:pPr>
          </w:p>
        </w:tc>
        <w:tc>
          <w:tcPr>
            <w:tcW w:w="470" w:type="dxa"/>
            <w:vMerge w:val="continue"/>
            <w:noWrap w:val="0"/>
            <w:vAlign w:val="center"/>
          </w:tcPr>
          <w:p>
            <w:pPr>
              <w:widowControl/>
              <w:jc w:val="center"/>
              <w:rPr>
                <w:rFonts w:hint="eastAsia" w:ascii="仿宋" w:hAnsi="仿宋" w:eastAsia="仿宋"/>
                <w:b/>
                <w:spacing w:val="20"/>
                <w:sz w:val="21"/>
                <w:szCs w:val="21"/>
              </w:rPr>
            </w:pPr>
          </w:p>
        </w:tc>
        <w:tc>
          <w:tcPr>
            <w:tcW w:w="473" w:type="dxa"/>
            <w:noWrap w:val="0"/>
            <w:vAlign w:val="center"/>
          </w:tcPr>
          <w:p>
            <w:pPr>
              <w:widowControl/>
              <w:jc w:val="center"/>
              <w:rPr>
                <w:rFonts w:hint="eastAsia" w:ascii="黑体" w:hAnsi="黑体" w:eastAsia="黑体"/>
                <w:bCs/>
                <w:spacing w:val="20"/>
                <w:sz w:val="21"/>
                <w:szCs w:val="21"/>
              </w:rPr>
            </w:pPr>
            <w:r>
              <w:rPr>
                <w:rFonts w:hint="eastAsia" w:ascii="黑体" w:hAnsi="黑体" w:eastAsia="黑体"/>
                <w:bCs/>
                <w:sz w:val="18"/>
              </w:rPr>
              <w:t>理论</w:t>
            </w:r>
          </w:p>
        </w:tc>
        <w:tc>
          <w:tcPr>
            <w:tcW w:w="567" w:type="dxa"/>
            <w:noWrap w:val="0"/>
            <w:vAlign w:val="center"/>
          </w:tcPr>
          <w:p>
            <w:pPr>
              <w:widowControl/>
              <w:jc w:val="center"/>
              <w:rPr>
                <w:rFonts w:hint="eastAsia" w:ascii="黑体" w:hAnsi="黑体" w:eastAsia="黑体"/>
                <w:bCs/>
                <w:spacing w:val="20"/>
                <w:sz w:val="21"/>
                <w:szCs w:val="21"/>
              </w:rPr>
            </w:pPr>
            <w:r>
              <w:rPr>
                <w:rFonts w:ascii="黑体" w:hAnsi="黑体" w:eastAsia="黑体"/>
                <w:bCs/>
                <w:sz w:val="18"/>
              </w:rPr>
              <w:t>实验</w:t>
            </w:r>
          </w:p>
        </w:tc>
        <w:tc>
          <w:tcPr>
            <w:tcW w:w="567" w:type="dxa"/>
            <w:noWrap w:val="0"/>
            <w:vAlign w:val="center"/>
          </w:tcPr>
          <w:p>
            <w:pPr>
              <w:widowControl/>
              <w:jc w:val="center"/>
              <w:rPr>
                <w:rFonts w:hint="eastAsia" w:ascii="黑体" w:hAnsi="黑体" w:eastAsia="黑体"/>
                <w:bCs/>
                <w:spacing w:val="20"/>
                <w:sz w:val="21"/>
                <w:szCs w:val="21"/>
              </w:rPr>
            </w:pPr>
            <w:r>
              <w:rPr>
                <w:rFonts w:hint="eastAsia" w:ascii="黑体" w:hAnsi="黑体" w:eastAsia="黑体"/>
                <w:bCs/>
                <w:sz w:val="18"/>
              </w:rPr>
              <w:t>实践</w:t>
            </w:r>
          </w:p>
        </w:tc>
        <w:tc>
          <w:tcPr>
            <w:tcW w:w="425" w:type="dxa"/>
            <w:noWrap w:val="0"/>
            <w:vAlign w:val="center"/>
          </w:tcPr>
          <w:p>
            <w:pPr>
              <w:widowControl/>
              <w:jc w:val="center"/>
              <w:rPr>
                <w:rFonts w:hint="eastAsia" w:ascii="黑体" w:hAnsi="黑体" w:eastAsia="黑体"/>
                <w:bCs/>
                <w:spacing w:val="20"/>
                <w:sz w:val="21"/>
                <w:szCs w:val="21"/>
              </w:rPr>
            </w:pPr>
            <w:r>
              <w:rPr>
                <w:rFonts w:hint="eastAsia" w:ascii="黑体" w:hAnsi="黑体" w:eastAsia="黑体"/>
                <w:bCs/>
                <w:sz w:val="18"/>
              </w:rPr>
              <w:t>其他</w:t>
            </w:r>
          </w:p>
        </w:tc>
        <w:tc>
          <w:tcPr>
            <w:tcW w:w="709" w:type="dxa"/>
            <w:vMerge w:val="continue"/>
            <w:noWrap w:val="0"/>
            <w:vAlign w:val="center"/>
          </w:tcPr>
          <w:p>
            <w:pPr>
              <w:widowControl/>
              <w:jc w:val="center"/>
              <w:rPr>
                <w:rFonts w:hint="eastAsia" w:ascii="黑体" w:hAnsi="黑体" w:eastAsia="黑体"/>
                <w:bCs/>
                <w:spacing w:val="20"/>
                <w:sz w:val="21"/>
                <w:szCs w:val="21"/>
              </w:rPr>
            </w:pPr>
          </w:p>
        </w:tc>
        <w:tc>
          <w:tcPr>
            <w:tcW w:w="709" w:type="dxa"/>
            <w:vMerge w:val="continue"/>
            <w:noWrap w:val="0"/>
            <w:vAlign w:val="center"/>
          </w:tcPr>
          <w:p>
            <w:pPr>
              <w:widowControl/>
              <w:jc w:val="center"/>
              <w:rPr>
                <w:rFonts w:hint="eastAsia" w:ascii="仿宋" w:hAnsi="仿宋" w:eastAsia="仿宋"/>
                <w:b/>
                <w:spacing w:val="20"/>
                <w:sz w:val="21"/>
                <w:szCs w:val="21"/>
              </w:rPr>
            </w:pPr>
          </w:p>
        </w:tc>
        <w:tc>
          <w:tcPr>
            <w:tcW w:w="709" w:type="dxa"/>
            <w:vMerge w:val="continue"/>
            <w:noWrap w:val="0"/>
            <w:vAlign w:val="center"/>
          </w:tcPr>
          <w:p>
            <w:pPr>
              <w:widowControl/>
              <w:jc w:val="center"/>
              <w:rPr>
                <w:rFonts w:hint="eastAsia" w:ascii="仿宋" w:hAnsi="仿宋" w:eastAsia="仿宋"/>
                <w:b/>
                <w:spacing w:val="20"/>
                <w:sz w:val="21"/>
                <w:szCs w:val="21"/>
              </w:rPr>
            </w:pPr>
          </w:p>
        </w:tc>
        <w:tc>
          <w:tcPr>
            <w:tcW w:w="790" w:type="dxa"/>
            <w:vMerge w:val="continue"/>
            <w:noWrap w:val="0"/>
            <w:vAlign w:val="center"/>
          </w:tcPr>
          <w:p>
            <w:pPr>
              <w:widowControl/>
              <w:jc w:val="center"/>
              <w:rPr>
                <w:rFonts w:hint="eastAsia" w:ascii="仿宋" w:hAnsi="仿宋" w:eastAsia="仿宋"/>
                <w:b/>
                <w:spacing w:val="20"/>
                <w:sz w:val="21"/>
                <w:szCs w:val="21"/>
              </w:rPr>
            </w:pPr>
          </w:p>
        </w:tc>
        <w:tc>
          <w:tcPr>
            <w:tcW w:w="716" w:type="dxa"/>
            <w:vMerge w:val="continue"/>
            <w:noWrap w:val="0"/>
            <w:vAlign w:val="center"/>
          </w:tcPr>
          <w:p>
            <w:pPr>
              <w:widowControl/>
              <w:jc w:val="center"/>
              <w:rPr>
                <w:rFonts w:hint="eastAsia" w:ascii="仿宋" w:hAnsi="仿宋" w:eastAsia="仿宋"/>
                <w:b/>
                <w:spacing w:val="2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bookmarkStart w:id="14" w:name="OLE_LINK37"/>
            <w:bookmarkStart w:id="15" w:name="OLE_LINK38"/>
            <w:bookmarkStart w:id="16" w:name="OLE_LINK71"/>
            <w:bookmarkStart w:id="17" w:name="_Hlk193656791"/>
            <w:bookmarkStart w:id="18" w:name="OLE_LINK40" w:colFirst="0" w:colLast="64"/>
            <w:bookmarkStart w:id="19" w:name="OLE_LINK41" w:colFirst="0" w:colLast="64"/>
            <w:bookmarkStart w:id="20" w:name="_Hlk197387308"/>
            <w:bookmarkStart w:id="21" w:name="OLE_LINK49" w:colFirst="0" w:colLast="64"/>
            <w:bookmarkStart w:id="22" w:name="OLE_LINK50" w:colFirst="0" w:colLast="64"/>
            <w:r>
              <w:rPr>
                <w:rFonts w:hint="eastAsia" w:ascii="仿宋" w:hAnsi="仿宋" w:eastAsia="仿宋"/>
                <w:b/>
                <w:spacing w:val="20"/>
                <w:sz w:val="18"/>
                <w:szCs w:val="18"/>
              </w:rPr>
              <w:t>康体养生项目设计虚拟仿真实验课程</w:t>
            </w:r>
            <w:bookmarkEnd w:id="14"/>
            <w:bookmarkEnd w:id="15"/>
            <w:r>
              <w:rPr>
                <w:rFonts w:hint="eastAsia" w:ascii="仿宋" w:hAnsi="仿宋" w:eastAsia="仿宋"/>
                <w:b/>
                <w:spacing w:val="20"/>
                <w:sz w:val="18"/>
                <w:szCs w:val="18"/>
              </w:rPr>
              <w:t>之茶康养虚拟仿真实验</w:t>
            </w:r>
            <w:bookmarkEnd w:id="16"/>
          </w:p>
        </w:tc>
        <w:tc>
          <w:tcPr>
            <w:tcW w:w="1423" w:type="dxa"/>
            <w:noWrap w:val="0"/>
            <w:vAlign w:val="center"/>
          </w:tcPr>
          <w:p>
            <w:pPr>
              <w:widowControl/>
              <w:jc w:val="left"/>
              <w:rPr>
                <w:rFonts w:hint="eastAsia" w:ascii="宋体" w:hAnsi="宋体"/>
                <w:bCs/>
                <w:sz w:val="18"/>
                <w:szCs w:val="18"/>
              </w:rPr>
            </w:pPr>
            <w:r>
              <w:rPr>
                <w:rFonts w:hint="eastAsia" w:ascii="宋体" w:hAnsi="宋体"/>
                <w:bCs/>
                <w:sz w:val="18"/>
                <w:szCs w:val="18"/>
              </w:rPr>
              <w:t>WZY13010001</w:t>
            </w:r>
          </w:p>
        </w:tc>
        <w:tc>
          <w:tcPr>
            <w:tcW w:w="510" w:type="dxa"/>
            <w:noWrap w:val="0"/>
            <w:vAlign w:val="center"/>
          </w:tcPr>
          <w:p>
            <w:pPr>
              <w:widowControl/>
              <w:jc w:val="center"/>
              <w:rPr>
                <w:rFonts w:hint="default" w:ascii="仿宋" w:hAnsi="仿宋" w:eastAsia="仿宋"/>
                <w:b/>
                <w:spacing w:val="20"/>
                <w:sz w:val="18"/>
                <w:szCs w:val="18"/>
              </w:rPr>
            </w:pPr>
            <w:r>
              <w:rPr>
                <w:rFonts w:hint="default" w:ascii="仿宋" w:hAnsi="仿宋" w:eastAsia="仿宋"/>
                <w:b/>
                <w:spacing w:val="20"/>
                <w:sz w:val="18"/>
                <w:szCs w:val="18"/>
              </w:rPr>
              <w:t>1</w:t>
            </w:r>
          </w:p>
        </w:tc>
        <w:tc>
          <w:tcPr>
            <w:tcW w:w="470"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473"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567" w:type="dxa"/>
            <w:noWrap w:val="0"/>
            <w:vAlign w:val="center"/>
          </w:tcPr>
          <w:p>
            <w:pPr>
              <w:widowControl/>
              <w:jc w:val="center"/>
              <w:rPr>
                <w:rFonts w:hint="eastAsia" w:ascii="仿宋" w:hAnsi="仿宋" w:eastAsia="仿宋"/>
                <w:b/>
                <w:spacing w:val="20"/>
                <w:sz w:val="18"/>
                <w:szCs w:val="18"/>
                <w:lang w:val="en-US" w:eastAsia="zh-CN"/>
              </w:rPr>
            </w:pPr>
          </w:p>
        </w:tc>
        <w:tc>
          <w:tcPr>
            <w:tcW w:w="567" w:type="dxa"/>
            <w:noWrap w:val="0"/>
            <w:vAlign w:val="center"/>
          </w:tcPr>
          <w:p>
            <w:pPr>
              <w:widowControl/>
              <w:jc w:val="center"/>
              <w:rPr>
                <w:rFonts w:hint="eastAsia" w:ascii="仿宋" w:hAnsi="仿宋" w:eastAsia="仿宋"/>
                <w:b/>
                <w:spacing w:val="20"/>
                <w:sz w:val="18"/>
                <w:szCs w:val="18"/>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709"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both"/>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必修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lang w:val="en-US" w:eastAsia="zh-CN"/>
              </w:rPr>
              <w:t>1</w:t>
            </w:r>
          </w:p>
        </w:tc>
      </w:tr>
      <w:bookmarkEnd w:id="17"/>
      <w:bookmarkEnd w:id="18"/>
      <w:bookmark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bookmarkStart w:id="23" w:name="OLE_LINK44" w:colFirst="0" w:colLast="64"/>
            <w:bookmarkStart w:id="24" w:name="_Hlk193656937"/>
            <w:bookmarkStart w:id="25" w:name="OLE_LINK45" w:colFirst="0" w:colLast="64"/>
            <w:r>
              <w:rPr>
                <w:rFonts w:hint="eastAsia" w:ascii="仿宋" w:hAnsi="仿宋" w:eastAsia="仿宋"/>
                <w:b/>
                <w:spacing w:val="20"/>
                <w:sz w:val="18"/>
                <w:szCs w:val="18"/>
              </w:rPr>
              <w:t>茶养生与茶疗</w:t>
            </w:r>
          </w:p>
        </w:tc>
        <w:tc>
          <w:tcPr>
            <w:tcW w:w="1423" w:type="dxa"/>
            <w:noWrap w:val="0"/>
            <w:vAlign w:val="center"/>
          </w:tcPr>
          <w:p>
            <w:pPr>
              <w:widowControl/>
              <w:jc w:val="center"/>
              <w:rPr>
                <w:rFonts w:hint="eastAsia" w:ascii="仿宋" w:hAnsi="仿宋" w:eastAsia="仿宋"/>
                <w:b/>
                <w:spacing w:val="20"/>
                <w:sz w:val="18"/>
                <w:szCs w:val="18"/>
              </w:rPr>
            </w:pPr>
            <w:r>
              <w:rPr>
                <w:rFonts w:hint="eastAsia" w:ascii="宋体" w:hAnsi="宋体"/>
                <w:bCs/>
                <w:sz w:val="18"/>
                <w:szCs w:val="18"/>
              </w:rPr>
              <w:t>WZY13010002</w:t>
            </w:r>
          </w:p>
        </w:tc>
        <w:tc>
          <w:tcPr>
            <w:tcW w:w="51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16</w:t>
            </w:r>
          </w:p>
        </w:tc>
        <w:tc>
          <w:tcPr>
            <w:tcW w:w="473"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default" w:ascii="仿宋" w:hAnsi="仿宋" w:eastAsia="仿宋"/>
                <w:b/>
                <w:spacing w:val="20"/>
                <w:sz w:val="18"/>
                <w:szCs w:val="18"/>
                <w:lang w:val="en-US" w:eastAsia="zh-CN"/>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8</w:t>
            </w: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8</w:t>
            </w:r>
          </w:p>
        </w:tc>
        <w:tc>
          <w:tcPr>
            <w:tcW w:w="709" w:type="dxa"/>
            <w:noWrap w:val="0"/>
            <w:vAlign w:val="center"/>
          </w:tcPr>
          <w:p>
            <w:pPr>
              <w:widowControl/>
              <w:jc w:val="center"/>
              <w:rPr>
                <w:rFonts w:hint="eastAsia"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必修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茶文化与茶艺</w:t>
            </w:r>
          </w:p>
        </w:tc>
        <w:tc>
          <w:tcPr>
            <w:tcW w:w="1423" w:type="dxa"/>
            <w:noWrap w:val="0"/>
            <w:vAlign w:val="center"/>
          </w:tcPr>
          <w:p>
            <w:pPr>
              <w:widowControl/>
              <w:jc w:val="center"/>
              <w:rPr>
                <w:rFonts w:hint="eastAsia" w:ascii="仿宋" w:hAnsi="仿宋" w:eastAsia="仿宋"/>
                <w:b/>
                <w:spacing w:val="20"/>
                <w:sz w:val="18"/>
                <w:szCs w:val="18"/>
              </w:rPr>
            </w:pPr>
            <w:r>
              <w:rPr>
                <w:rFonts w:hint="eastAsia" w:ascii="宋体" w:hAnsi="宋体"/>
                <w:bCs/>
                <w:sz w:val="18"/>
                <w:szCs w:val="18"/>
              </w:rPr>
              <w:t>WZY13020001</w:t>
            </w:r>
          </w:p>
        </w:tc>
        <w:tc>
          <w:tcPr>
            <w:tcW w:w="510" w:type="dxa"/>
            <w:noWrap w:val="0"/>
            <w:vAlign w:val="center"/>
          </w:tcPr>
          <w:p>
            <w:pPr>
              <w:widowControl/>
              <w:jc w:val="center"/>
              <w:rPr>
                <w:rFonts w:hint="default" w:ascii="仿宋" w:hAnsi="仿宋" w:eastAsia="仿宋"/>
                <w:b/>
                <w:spacing w:val="20"/>
                <w:sz w:val="18"/>
                <w:szCs w:val="18"/>
              </w:rPr>
            </w:pPr>
            <w:r>
              <w:rPr>
                <w:rFonts w:hint="default" w:ascii="仿宋" w:hAnsi="仿宋" w:eastAsia="仿宋"/>
                <w:b/>
                <w:spacing w:val="20"/>
                <w:sz w:val="18"/>
                <w:szCs w:val="18"/>
              </w:rPr>
              <w:t>1.5</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473" w:type="dxa"/>
            <w:noWrap w:val="0"/>
            <w:vAlign w:val="center"/>
          </w:tcPr>
          <w:p>
            <w:pPr>
              <w:widowControl/>
              <w:jc w:val="center"/>
              <w:rPr>
                <w:rFonts w:hint="eastAsia" w:ascii="仿宋" w:hAnsi="仿宋" w:eastAsia="仿宋"/>
                <w:b/>
                <w:spacing w:val="20"/>
                <w:sz w:val="18"/>
                <w:szCs w:val="18"/>
                <w:lang w:val="en-US" w:eastAsia="zh-CN"/>
              </w:rPr>
            </w:pPr>
            <w:r>
              <w:rPr>
                <w:rFonts w:hint="eastAsia" w:ascii="仿宋" w:hAnsi="仿宋" w:eastAsia="仿宋"/>
                <w:b/>
                <w:spacing w:val="20"/>
                <w:sz w:val="18"/>
                <w:szCs w:val="18"/>
              </w:rPr>
              <w:t>1</w:t>
            </w:r>
            <w:r>
              <w:rPr>
                <w:rFonts w:hint="eastAsia" w:ascii="仿宋" w:hAnsi="仿宋" w:eastAsia="仿宋"/>
                <w:b/>
                <w:spacing w:val="20"/>
                <w:sz w:val="18"/>
                <w:szCs w:val="18"/>
                <w:lang w:val="en-US" w:eastAsia="zh-CN"/>
              </w:rPr>
              <w:t>6</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default" w:ascii="仿宋" w:hAnsi="仿宋" w:eastAsia="仿宋"/>
                <w:b/>
                <w:spacing w:val="20"/>
                <w:sz w:val="18"/>
                <w:szCs w:val="18"/>
                <w:lang w:val="en-US" w:eastAsia="zh-CN"/>
              </w:rPr>
            </w:pPr>
            <w:bookmarkStart w:id="47" w:name="_GoBack"/>
            <w:bookmarkEnd w:id="47"/>
            <w:r>
              <w:rPr>
                <w:rFonts w:hint="eastAsia" w:ascii="仿宋" w:hAnsi="仿宋" w:eastAsia="仿宋"/>
                <w:b/>
                <w:spacing w:val="20"/>
                <w:sz w:val="18"/>
                <w:szCs w:val="18"/>
                <w:lang w:val="en-US" w:eastAsia="zh-CN"/>
              </w:rPr>
              <w:t>16</w:t>
            </w: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709"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709"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color w:val="FF0000"/>
                <w:spacing w:val="20"/>
                <w:sz w:val="18"/>
                <w:szCs w:val="18"/>
              </w:rPr>
            </w:pPr>
            <w:r>
              <w:rPr>
                <w:rFonts w:hint="eastAsia" w:ascii="仿宋" w:hAnsi="仿宋" w:eastAsia="仿宋"/>
                <w:b/>
                <w:color w:val="FF0000"/>
                <w:spacing w:val="20"/>
                <w:sz w:val="18"/>
                <w:szCs w:val="18"/>
              </w:rPr>
              <w:t>选修</w:t>
            </w:r>
          </w:p>
        </w:tc>
        <w:tc>
          <w:tcPr>
            <w:tcW w:w="716"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highlight w:val="yellow"/>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茶文化与茶健康</w:t>
            </w:r>
          </w:p>
        </w:tc>
        <w:tc>
          <w:tcPr>
            <w:tcW w:w="1423" w:type="dxa"/>
            <w:noWrap w:val="0"/>
            <w:vAlign w:val="center"/>
          </w:tcPr>
          <w:p>
            <w:pPr>
              <w:widowControl/>
              <w:jc w:val="center"/>
              <w:rPr>
                <w:rFonts w:hint="eastAsia" w:ascii="仿宋" w:hAnsi="仿宋" w:eastAsia="仿宋"/>
                <w:b/>
                <w:spacing w:val="20"/>
                <w:sz w:val="18"/>
                <w:szCs w:val="18"/>
              </w:rPr>
            </w:pPr>
            <w:r>
              <w:rPr>
                <w:rFonts w:hint="eastAsia" w:ascii="宋体" w:hAnsi="宋体"/>
                <w:bCs/>
                <w:sz w:val="18"/>
                <w:szCs w:val="18"/>
              </w:rPr>
              <w:t>WZY13010003</w:t>
            </w:r>
          </w:p>
        </w:tc>
        <w:tc>
          <w:tcPr>
            <w:tcW w:w="51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2</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473"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eastAsia" w:ascii="仿宋" w:hAnsi="仿宋" w:eastAsia="仿宋"/>
                <w:b/>
                <w:spacing w:val="20"/>
                <w:sz w:val="18"/>
                <w:szCs w:val="18"/>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709"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spacing w:val="20"/>
                <w:sz w:val="18"/>
                <w:szCs w:val="18"/>
              </w:rPr>
            </w:pPr>
            <w:r>
              <w:rPr>
                <w:rFonts w:hint="default" w:ascii="仿宋" w:hAnsi="仿宋" w:eastAsia="仿宋"/>
                <w:b/>
                <w:color w:val="auto"/>
                <w:spacing w:val="20"/>
                <w:sz w:val="18"/>
                <w:szCs w:val="18"/>
                <w:highlight w:val="none"/>
              </w:rPr>
              <w:t>必</w:t>
            </w:r>
            <w:r>
              <w:rPr>
                <w:rFonts w:hint="eastAsia" w:ascii="仿宋" w:hAnsi="仿宋" w:eastAsia="仿宋"/>
                <w:b/>
                <w:color w:val="auto"/>
                <w:spacing w:val="20"/>
                <w:sz w:val="18"/>
                <w:szCs w:val="18"/>
                <w:highlight w:val="none"/>
              </w:rPr>
              <w:t>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膳食营养学</w:t>
            </w:r>
          </w:p>
        </w:tc>
        <w:tc>
          <w:tcPr>
            <w:tcW w:w="1423" w:type="dxa"/>
            <w:noWrap w:val="0"/>
            <w:vAlign w:val="center"/>
          </w:tcPr>
          <w:p>
            <w:pPr>
              <w:widowControl/>
              <w:jc w:val="center"/>
              <w:rPr>
                <w:rFonts w:hint="eastAsia" w:ascii="宋体" w:hAnsi="宋体"/>
                <w:bCs/>
                <w:sz w:val="18"/>
                <w:szCs w:val="18"/>
              </w:rPr>
            </w:pPr>
            <w:r>
              <w:rPr>
                <w:rFonts w:hint="eastAsia" w:ascii="宋体" w:hAnsi="宋体"/>
                <w:bCs/>
                <w:sz w:val="18"/>
                <w:szCs w:val="18"/>
              </w:rPr>
              <w:t>WZY13010004</w:t>
            </w:r>
          </w:p>
        </w:tc>
        <w:tc>
          <w:tcPr>
            <w:tcW w:w="51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2</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473"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eastAsia" w:ascii="仿宋" w:hAnsi="仿宋" w:eastAsia="仿宋"/>
                <w:b/>
                <w:spacing w:val="20"/>
                <w:sz w:val="18"/>
                <w:szCs w:val="18"/>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32</w:t>
            </w:r>
          </w:p>
        </w:tc>
        <w:tc>
          <w:tcPr>
            <w:tcW w:w="709"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lang w:val="en-US" w:eastAsia="zh-CN"/>
              </w:rPr>
              <w:t>必</w:t>
            </w:r>
            <w:r>
              <w:rPr>
                <w:rFonts w:hint="eastAsia" w:ascii="仿宋" w:hAnsi="仿宋" w:eastAsia="仿宋"/>
                <w:b/>
                <w:spacing w:val="20"/>
                <w:sz w:val="18"/>
                <w:szCs w:val="18"/>
              </w:rPr>
              <w:t>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bookmarkStart w:id="26" w:name="OLE_LINK101" w:colFirst="2" w:colLast="73"/>
            <w:bookmarkStart w:id="27" w:name="OLE_LINK102" w:colFirst="2" w:colLast="73"/>
            <w:bookmarkStart w:id="28" w:name="_Hlk193675019"/>
            <w:r>
              <w:rPr>
                <w:rFonts w:hint="eastAsia" w:ascii="仿宋" w:hAnsi="仿宋" w:eastAsia="仿宋"/>
                <w:b/>
                <w:spacing w:val="20"/>
                <w:sz w:val="18"/>
                <w:szCs w:val="18"/>
              </w:rPr>
              <w:t>茶味丽水</w:t>
            </w:r>
          </w:p>
        </w:tc>
        <w:tc>
          <w:tcPr>
            <w:tcW w:w="1423" w:type="dxa"/>
            <w:noWrap w:val="0"/>
            <w:vAlign w:val="center"/>
          </w:tcPr>
          <w:p>
            <w:pPr>
              <w:widowControl/>
              <w:jc w:val="center"/>
              <w:rPr>
                <w:rFonts w:hint="eastAsia" w:ascii="宋体" w:hAnsi="宋体"/>
                <w:bCs/>
                <w:sz w:val="18"/>
                <w:szCs w:val="18"/>
              </w:rPr>
            </w:pPr>
            <w:r>
              <w:rPr>
                <w:rFonts w:hint="eastAsia" w:ascii="宋体" w:hAnsi="宋体"/>
                <w:bCs/>
                <w:sz w:val="18"/>
                <w:szCs w:val="18"/>
              </w:rPr>
              <w:t>WZY13020002</w:t>
            </w:r>
          </w:p>
        </w:tc>
        <w:tc>
          <w:tcPr>
            <w:tcW w:w="51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16</w:t>
            </w:r>
          </w:p>
        </w:tc>
        <w:tc>
          <w:tcPr>
            <w:tcW w:w="473"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default" w:ascii="仿宋" w:hAnsi="仿宋" w:eastAsia="仿宋"/>
                <w:b/>
                <w:spacing w:val="20"/>
                <w:sz w:val="18"/>
                <w:szCs w:val="18"/>
                <w:lang w:val="en-US" w:eastAsia="zh-CN"/>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8</w:t>
            </w: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8</w:t>
            </w:r>
          </w:p>
        </w:tc>
        <w:tc>
          <w:tcPr>
            <w:tcW w:w="709" w:type="dxa"/>
            <w:noWrap w:val="0"/>
            <w:vAlign w:val="center"/>
          </w:tcPr>
          <w:p>
            <w:pPr>
              <w:widowControl/>
              <w:jc w:val="center"/>
              <w:rPr>
                <w:rFonts w:hint="eastAsia"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color w:val="FF0000"/>
                <w:spacing w:val="20"/>
                <w:sz w:val="18"/>
                <w:szCs w:val="18"/>
              </w:rPr>
            </w:pPr>
            <w:r>
              <w:rPr>
                <w:rFonts w:hint="eastAsia" w:ascii="仿宋" w:hAnsi="仿宋" w:eastAsia="仿宋"/>
                <w:b/>
                <w:color w:val="FF0000"/>
                <w:spacing w:val="20"/>
                <w:sz w:val="18"/>
                <w:szCs w:val="18"/>
              </w:rPr>
              <w:t>选修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highlight w:val="yellow"/>
                <w:lang w:val="en-US" w:eastAsia="zh-CN"/>
              </w:rPr>
              <w:t>2</w:t>
            </w:r>
          </w:p>
        </w:tc>
      </w:tr>
      <w:bookmarkEnd w:id="9"/>
      <w:bookmarkEnd w:id="10"/>
      <w:bookmarkEnd w:id="11"/>
      <w:bookmarkEnd w:id="26"/>
      <w:bookmarkEnd w:id="27"/>
      <w:bookmarkEnd w:id="2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lang w:eastAsia="zh-CN"/>
              </w:rPr>
            </w:pPr>
            <w:r>
              <w:rPr>
                <w:rFonts w:hint="eastAsia" w:ascii="仿宋" w:hAnsi="仿宋" w:eastAsia="仿宋"/>
                <w:b/>
                <w:spacing w:val="20"/>
                <w:sz w:val="18"/>
                <w:szCs w:val="18"/>
              </w:rPr>
              <w:t>茶文化服务实习</w:t>
            </w:r>
            <w:r>
              <w:rPr>
                <w:rFonts w:hint="eastAsia" w:ascii="仿宋" w:hAnsi="仿宋" w:eastAsia="仿宋"/>
                <w:b/>
                <w:spacing w:val="20"/>
                <w:sz w:val="18"/>
                <w:szCs w:val="18"/>
                <w:lang w:eastAsia="zh-CN"/>
              </w:rPr>
              <w:t>（</w:t>
            </w:r>
            <w:r>
              <w:rPr>
                <w:rFonts w:hint="eastAsia" w:ascii="仿宋" w:hAnsi="仿宋" w:eastAsia="仿宋"/>
                <w:b/>
                <w:spacing w:val="20"/>
                <w:sz w:val="18"/>
                <w:szCs w:val="18"/>
                <w:lang w:val="en-US" w:eastAsia="zh-CN"/>
              </w:rPr>
              <w:t>含康养养旅Ai创新应用</w:t>
            </w:r>
            <w:r>
              <w:rPr>
                <w:rFonts w:hint="eastAsia" w:ascii="仿宋" w:hAnsi="仿宋" w:eastAsia="仿宋"/>
                <w:b/>
                <w:spacing w:val="20"/>
                <w:sz w:val="18"/>
                <w:szCs w:val="18"/>
                <w:lang w:eastAsia="zh-CN"/>
              </w:rPr>
              <w:t>）</w:t>
            </w:r>
          </w:p>
        </w:tc>
        <w:tc>
          <w:tcPr>
            <w:tcW w:w="1423" w:type="dxa"/>
            <w:noWrap w:val="0"/>
            <w:vAlign w:val="center"/>
          </w:tcPr>
          <w:p>
            <w:pPr>
              <w:widowControl/>
              <w:jc w:val="center"/>
              <w:rPr>
                <w:rFonts w:hint="eastAsia" w:ascii="宋体" w:hAnsi="宋体"/>
                <w:bCs/>
                <w:sz w:val="18"/>
                <w:szCs w:val="18"/>
              </w:rPr>
            </w:pPr>
            <w:r>
              <w:rPr>
                <w:rFonts w:hint="eastAsia" w:ascii="宋体" w:hAnsi="宋体"/>
                <w:bCs/>
                <w:sz w:val="18"/>
                <w:szCs w:val="18"/>
              </w:rPr>
              <w:t>WZY13010005</w:t>
            </w:r>
          </w:p>
        </w:tc>
        <w:tc>
          <w:tcPr>
            <w:tcW w:w="51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16</w:t>
            </w:r>
          </w:p>
        </w:tc>
        <w:tc>
          <w:tcPr>
            <w:tcW w:w="473" w:type="dxa"/>
            <w:noWrap w:val="0"/>
            <w:vAlign w:val="center"/>
          </w:tcPr>
          <w:p>
            <w:pPr>
              <w:widowControl/>
              <w:jc w:val="center"/>
              <w:rPr>
                <w:rFonts w:hint="default" w:ascii="仿宋" w:hAnsi="仿宋" w:eastAsia="仿宋"/>
                <w:b/>
                <w:spacing w:val="20"/>
                <w:sz w:val="18"/>
                <w:szCs w:val="18"/>
                <w:lang w:val="en-US" w:eastAsia="zh-CN"/>
              </w:rPr>
            </w:pPr>
            <w:r>
              <w:rPr>
                <w:rFonts w:hint="eastAsia" w:ascii="仿宋" w:hAnsi="仿宋" w:eastAsia="仿宋"/>
                <w:b/>
                <w:spacing w:val="20"/>
                <w:sz w:val="18"/>
                <w:szCs w:val="18"/>
                <w:lang w:val="en-US" w:eastAsia="zh-CN"/>
              </w:rPr>
              <w:t>16</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default" w:ascii="仿宋" w:hAnsi="仿宋" w:eastAsia="仿宋"/>
                <w:b/>
                <w:spacing w:val="20"/>
                <w:sz w:val="18"/>
                <w:szCs w:val="18"/>
                <w:lang w:val="en-US" w:eastAsia="zh-CN"/>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8</w:t>
            </w: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8</w:t>
            </w:r>
          </w:p>
        </w:tc>
        <w:tc>
          <w:tcPr>
            <w:tcW w:w="709" w:type="dxa"/>
            <w:noWrap w:val="0"/>
            <w:vAlign w:val="center"/>
          </w:tcPr>
          <w:p>
            <w:pPr>
              <w:widowControl/>
              <w:jc w:val="center"/>
              <w:rPr>
                <w:rFonts w:hint="eastAsia"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color w:val="FF0000"/>
                <w:spacing w:val="20"/>
                <w:sz w:val="18"/>
                <w:szCs w:val="18"/>
                <w:lang w:val="en-US" w:eastAsia="zh-CN"/>
              </w:rPr>
              <w:t>选</w:t>
            </w:r>
            <w:r>
              <w:rPr>
                <w:rFonts w:hint="eastAsia" w:ascii="仿宋" w:hAnsi="仿宋" w:eastAsia="仿宋"/>
                <w:b/>
                <w:color w:val="FF0000"/>
                <w:spacing w:val="20"/>
                <w:sz w:val="18"/>
                <w:szCs w:val="18"/>
              </w:rPr>
              <w:t>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处州沉浸式茶文化</w:t>
            </w:r>
          </w:p>
        </w:tc>
        <w:tc>
          <w:tcPr>
            <w:tcW w:w="1423" w:type="dxa"/>
            <w:noWrap w:val="0"/>
            <w:vAlign w:val="center"/>
          </w:tcPr>
          <w:p>
            <w:pPr>
              <w:widowControl/>
              <w:jc w:val="center"/>
              <w:rPr>
                <w:rFonts w:hint="eastAsia" w:ascii="仿宋" w:hAnsi="仿宋" w:eastAsia="仿宋"/>
                <w:b/>
                <w:spacing w:val="20"/>
                <w:sz w:val="18"/>
                <w:szCs w:val="18"/>
              </w:rPr>
            </w:pPr>
            <w:bookmarkStart w:id="29" w:name="OLE_LINK93"/>
            <w:bookmarkStart w:id="30" w:name="OLE_LINK92"/>
            <w:r>
              <w:rPr>
                <w:rFonts w:hint="eastAsia" w:ascii="宋体" w:hAnsi="宋体"/>
                <w:bCs/>
                <w:sz w:val="18"/>
                <w:szCs w:val="18"/>
              </w:rPr>
              <w:t>WZY13010006</w:t>
            </w:r>
            <w:bookmarkEnd w:id="29"/>
            <w:bookmarkEnd w:id="30"/>
          </w:p>
        </w:tc>
        <w:tc>
          <w:tcPr>
            <w:tcW w:w="51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w:t>
            </w:r>
          </w:p>
        </w:tc>
        <w:tc>
          <w:tcPr>
            <w:tcW w:w="47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16</w:t>
            </w:r>
          </w:p>
        </w:tc>
        <w:tc>
          <w:tcPr>
            <w:tcW w:w="473"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16</w:t>
            </w:r>
          </w:p>
        </w:tc>
        <w:tc>
          <w:tcPr>
            <w:tcW w:w="567" w:type="dxa"/>
            <w:noWrap w:val="0"/>
            <w:vAlign w:val="center"/>
          </w:tcPr>
          <w:p>
            <w:pPr>
              <w:widowControl/>
              <w:jc w:val="center"/>
              <w:rPr>
                <w:rFonts w:hint="eastAsia" w:ascii="仿宋" w:hAnsi="仿宋" w:eastAsia="仿宋"/>
                <w:b/>
                <w:spacing w:val="20"/>
                <w:sz w:val="18"/>
                <w:szCs w:val="18"/>
              </w:rPr>
            </w:pPr>
          </w:p>
        </w:tc>
        <w:tc>
          <w:tcPr>
            <w:tcW w:w="567" w:type="dxa"/>
            <w:noWrap w:val="0"/>
            <w:vAlign w:val="center"/>
          </w:tcPr>
          <w:p>
            <w:pPr>
              <w:widowControl/>
              <w:jc w:val="center"/>
              <w:rPr>
                <w:rFonts w:hint="eastAsia" w:ascii="仿宋" w:hAnsi="仿宋" w:eastAsia="仿宋"/>
                <w:b/>
                <w:spacing w:val="20"/>
                <w:sz w:val="18"/>
                <w:szCs w:val="18"/>
              </w:rPr>
            </w:pPr>
          </w:p>
        </w:tc>
        <w:tc>
          <w:tcPr>
            <w:tcW w:w="425"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16</w:t>
            </w:r>
          </w:p>
        </w:tc>
        <w:tc>
          <w:tcPr>
            <w:tcW w:w="709" w:type="dxa"/>
            <w:noWrap w:val="0"/>
            <w:vAlign w:val="center"/>
          </w:tcPr>
          <w:p>
            <w:pPr>
              <w:widowControl/>
              <w:jc w:val="center"/>
              <w:rPr>
                <w:rFonts w:hint="eastAsia" w:ascii="仿宋" w:hAnsi="仿宋" w:eastAsia="仿宋"/>
                <w:b/>
                <w:spacing w:val="20"/>
                <w:sz w:val="18"/>
                <w:szCs w:val="18"/>
              </w:rPr>
            </w:pPr>
          </w:p>
        </w:tc>
        <w:tc>
          <w:tcPr>
            <w:tcW w:w="709" w:type="dxa"/>
            <w:noWrap w:val="0"/>
            <w:vAlign w:val="center"/>
          </w:tcPr>
          <w:p>
            <w:pPr>
              <w:widowControl/>
              <w:jc w:val="center"/>
              <w:rPr>
                <w:rFonts w:hint="eastAsia" w:ascii="仿宋" w:hAnsi="仿宋" w:eastAsia="仿宋"/>
                <w:b/>
                <w:spacing w:val="20"/>
                <w:sz w:val="18"/>
                <w:szCs w:val="18"/>
                <w:lang w:val="en-US" w:eastAsia="zh-CN"/>
              </w:rPr>
            </w:pPr>
            <w:r>
              <w:rPr>
                <w:rFonts w:hint="eastAsia" w:ascii="仿宋" w:hAnsi="仿宋" w:eastAsia="仿宋"/>
                <w:b/>
                <w:spacing w:val="20"/>
                <w:sz w:val="18"/>
                <w:szCs w:val="18"/>
                <w:lang w:val="en-US" w:eastAsia="zh-CN"/>
              </w:rPr>
              <w:t>考查</w:t>
            </w:r>
          </w:p>
        </w:tc>
        <w:tc>
          <w:tcPr>
            <w:tcW w:w="79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必修</w:t>
            </w:r>
          </w:p>
        </w:tc>
        <w:tc>
          <w:tcPr>
            <w:tcW w:w="716" w:type="dxa"/>
            <w:noWrap w:val="0"/>
            <w:vAlign w:val="center"/>
          </w:tcPr>
          <w:p>
            <w:pPr>
              <w:widowControl/>
              <w:jc w:val="center"/>
              <w:rPr>
                <w:rFonts w:hint="eastAsia" w:ascii="仿宋" w:hAnsi="仿宋" w:eastAsia="仿宋"/>
                <w:b/>
                <w:spacing w:val="20"/>
                <w:sz w:val="18"/>
                <w:szCs w:val="18"/>
                <w:lang w:eastAsia="zh-CN"/>
              </w:rPr>
            </w:pPr>
            <w:r>
              <w:rPr>
                <w:rFonts w:hint="eastAsia" w:ascii="仿宋" w:hAnsi="仿宋" w:eastAsia="仿宋"/>
                <w:b/>
                <w:spacing w:val="20"/>
                <w:sz w:val="18"/>
                <w:szCs w:val="18"/>
                <w:highlight w:val="yellow"/>
                <w:lang w:val="en-US" w:eastAsia="zh-CN"/>
              </w:rPr>
              <w:t>2</w:t>
            </w:r>
          </w:p>
        </w:tc>
      </w:tr>
      <w:bookmarkEnd w:id="20"/>
      <w:bookmarkEnd w:id="21"/>
      <w:bookmarkEnd w:id="22"/>
      <w:bookmarkEnd w:id="23"/>
      <w:bookmarkEnd w:id="24"/>
      <w:bookmarkEnd w:id="2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68" w:type="dxa"/>
            <w:noWrap w:val="0"/>
            <w:vAlign w:val="center"/>
          </w:tcPr>
          <w:p>
            <w:pPr>
              <w:widowControl/>
              <w:jc w:val="center"/>
              <w:rPr>
                <w:rFonts w:hint="eastAsia" w:ascii="黑体" w:hAnsi="黑体" w:eastAsia="黑体"/>
                <w:bCs/>
                <w:sz w:val="18"/>
                <w:szCs w:val="18"/>
              </w:rPr>
            </w:pPr>
            <w:r>
              <w:rPr>
                <w:rFonts w:hint="eastAsia" w:ascii="黑体" w:hAnsi="黑体" w:eastAsia="黑体"/>
                <w:bCs/>
                <w:sz w:val="18"/>
                <w:szCs w:val="18"/>
              </w:rPr>
              <w:t>合计</w:t>
            </w:r>
          </w:p>
        </w:tc>
        <w:tc>
          <w:tcPr>
            <w:tcW w:w="1423" w:type="dxa"/>
            <w:noWrap w:val="0"/>
            <w:vAlign w:val="center"/>
          </w:tcPr>
          <w:p>
            <w:pPr>
              <w:widowControl/>
              <w:jc w:val="center"/>
              <w:rPr>
                <w:rFonts w:hint="eastAsia" w:ascii="仿宋" w:hAnsi="仿宋" w:eastAsia="仿宋"/>
                <w:b/>
                <w:spacing w:val="20"/>
                <w:sz w:val="18"/>
                <w:szCs w:val="18"/>
              </w:rPr>
            </w:pPr>
          </w:p>
        </w:tc>
        <w:tc>
          <w:tcPr>
            <w:tcW w:w="510" w:type="dxa"/>
            <w:noWrap w:val="0"/>
            <w:vAlign w:val="center"/>
          </w:tcPr>
          <w:p>
            <w:pPr>
              <w:widowControl/>
              <w:jc w:val="center"/>
              <w:rPr>
                <w:rFonts w:hint="default" w:ascii="仿宋" w:hAnsi="仿宋" w:eastAsia="仿宋"/>
                <w:b/>
                <w:spacing w:val="20"/>
                <w:sz w:val="18"/>
                <w:szCs w:val="18"/>
              </w:rPr>
            </w:pPr>
            <w:r>
              <w:rPr>
                <w:rFonts w:hint="eastAsia" w:ascii="仿宋" w:hAnsi="仿宋" w:eastAsia="仿宋"/>
                <w:b/>
                <w:spacing w:val="20"/>
                <w:sz w:val="18"/>
                <w:szCs w:val="18"/>
              </w:rPr>
              <w:t>1</w:t>
            </w:r>
            <w:r>
              <w:rPr>
                <w:rFonts w:hint="default" w:ascii="仿宋" w:hAnsi="仿宋" w:eastAsia="仿宋"/>
                <w:b/>
                <w:spacing w:val="20"/>
                <w:sz w:val="18"/>
                <w:szCs w:val="18"/>
              </w:rPr>
              <w:t>0.5</w:t>
            </w:r>
          </w:p>
        </w:tc>
        <w:tc>
          <w:tcPr>
            <w:tcW w:w="470" w:type="dxa"/>
            <w:noWrap w:val="0"/>
            <w:vAlign w:val="center"/>
          </w:tcPr>
          <w:p>
            <w:pPr>
              <w:jc w:val="center"/>
              <w:rPr>
                <w:rFonts w:hint="default" w:ascii="仿宋" w:hAnsi="仿宋" w:eastAsia="仿宋" w:cs="宋体"/>
                <w:b/>
                <w:bCs/>
                <w:sz w:val="18"/>
                <w:szCs w:val="18"/>
                <w:lang w:val="en-US" w:eastAsia="zh-CN"/>
              </w:rPr>
            </w:pPr>
            <w:r>
              <w:rPr>
                <w:rFonts w:hint="eastAsia" w:ascii="仿宋" w:hAnsi="仿宋" w:eastAsia="仿宋" w:cs="宋体"/>
                <w:b/>
                <w:bCs/>
                <w:sz w:val="18"/>
                <w:szCs w:val="18"/>
                <w:lang w:val="en-US" w:eastAsia="zh-CN"/>
              </w:rPr>
              <w:t>144</w:t>
            </w:r>
          </w:p>
        </w:tc>
        <w:tc>
          <w:tcPr>
            <w:tcW w:w="473" w:type="dxa"/>
            <w:noWrap w:val="0"/>
            <w:vAlign w:val="center"/>
          </w:tcPr>
          <w:p>
            <w:pPr>
              <w:jc w:val="center"/>
              <w:rPr>
                <w:rFonts w:hint="default" w:ascii="仿宋" w:hAnsi="仿宋" w:eastAsia="仿宋" w:cs="宋体"/>
                <w:b/>
                <w:bCs/>
                <w:sz w:val="18"/>
                <w:szCs w:val="18"/>
                <w:lang w:val="en-US" w:eastAsia="zh-CN"/>
              </w:rPr>
            </w:pPr>
            <w:r>
              <w:rPr>
                <w:rFonts w:hint="eastAsia" w:ascii="仿宋" w:hAnsi="仿宋" w:eastAsia="仿宋" w:cs="宋体"/>
                <w:b/>
                <w:bCs/>
                <w:sz w:val="18"/>
                <w:szCs w:val="18"/>
                <w:lang w:val="en-US" w:eastAsia="zh-CN"/>
              </w:rPr>
              <w:t>128</w:t>
            </w:r>
          </w:p>
        </w:tc>
        <w:tc>
          <w:tcPr>
            <w:tcW w:w="567" w:type="dxa"/>
            <w:noWrap w:val="0"/>
            <w:vAlign w:val="center"/>
          </w:tcPr>
          <w:p>
            <w:pPr>
              <w:jc w:val="right"/>
              <w:rPr>
                <w:rFonts w:ascii="宋体" w:hAnsi="宋体" w:cs="宋体"/>
                <w:sz w:val="24"/>
                <w:szCs w:val="24"/>
              </w:rPr>
            </w:pPr>
          </w:p>
        </w:tc>
        <w:tc>
          <w:tcPr>
            <w:tcW w:w="567" w:type="dxa"/>
            <w:noWrap w:val="0"/>
            <w:vAlign w:val="center"/>
          </w:tcPr>
          <w:p>
            <w:pPr>
              <w:widowControl/>
              <w:jc w:val="center"/>
              <w:rPr>
                <w:rFonts w:hint="default" w:ascii="宋体" w:hAnsi="宋体" w:eastAsia="宋体" w:cs="宋体"/>
                <w:sz w:val="24"/>
                <w:szCs w:val="24"/>
                <w:lang w:val="en-US" w:eastAsia="zh-CN"/>
              </w:rPr>
            </w:pPr>
            <w:r>
              <w:rPr>
                <w:rFonts w:hint="eastAsia" w:ascii="仿宋" w:hAnsi="仿宋" w:eastAsia="仿宋"/>
                <w:b/>
                <w:spacing w:val="20"/>
                <w:sz w:val="18"/>
                <w:szCs w:val="18"/>
                <w:lang w:val="en-US" w:eastAsia="zh-CN"/>
              </w:rPr>
              <w:t>16</w:t>
            </w:r>
          </w:p>
        </w:tc>
        <w:tc>
          <w:tcPr>
            <w:tcW w:w="425" w:type="dxa"/>
            <w:noWrap w:val="0"/>
            <w:vAlign w:val="center"/>
          </w:tcPr>
          <w:p>
            <w:pPr>
              <w:jc w:val="right"/>
              <w:rPr>
                <w:rFonts w:ascii="宋体" w:hAnsi="宋体" w:cs="宋体"/>
                <w:sz w:val="24"/>
                <w:szCs w:val="24"/>
              </w:rPr>
            </w:pPr>
          </w:p>
        </w:tc>
        <w:tc>
          <w:tcPr>
            <w:tcW w:w="709" w:type="dxa"/>
            <w:noWrap w:val="0"/>
            <w:vAlign w:val="center"/>
          </w:tcPr>
          <w:p>
            <w:pPr>
              <w:jc w:val="center"/>
              <w:rPr>
                <w:rFonts w:hint="default" w:ascii="仿宋" w:hAnsi="仿宋" w:eastAsia="仿宋" w:cs="宋体"/>
                <w:b/>
                <w:bCs/>
                <w:sz w:val="18"/>
                <w:szCs w:val="18"/>
                <w:lang w:val="en-US" w:eastAsia="zh-CN"/>
              </w:rPr>
            </w:pPr>
            <w:r>
              <w:rPr>
                <w:rFonts w:hint="eastAsia" w:ascii="仿宋" w:hAnsi="仿宋" w:eastAsia="仿宋" w:cs="宋体"/>
                <w:b/>
                <w:bCs/>
                <w:sz w:val="18"/>
                <w:szCs w:val="18"/>
                <w:lang w:val="en-US" w:eastAsia="zh-CN"/>
              </w:rPr>
              <w:t>112</w:t>
            </w:r>
          </w:p>
        </w:tc>
        <w:tc>
          <w:tcPr>
            <w:tcW w:w="709" w:type="dxa"/>
            <w:noWrap w:val="0"/>
            <w:vAlign w:val="center"/>
          </w:tcPr>
          <w:p>
            <w:pPr>
              <w:jc w:val="center"/>
              <w:rPr>
                <w:rFonts w:hint="default" w:ascii="宋体" w:hAnsi="宋体" w:eastAsia="宋体" w:cs="宋体"/>
                <w:sz w:val="24"/>
                <w:szCs w:val="24"/>
                <w:lang w:val="en-US" w:eastAsia="zh-CN"/>
              </w:rPr>
            </w:pPr>
            <w:r>
              <w:rPr>
                <w:rFonts w:hint="eastAsia" w:ascii="仿宋" w:hAnsi="仿宋" w:eastAsia="仿宋" w:cs="宋体"/>
                <w:b/>
                <w:bCs/>
                <w:sz w:val="18"/>
                <w:szCs w:val="18"/>
                <w:lang w:val="en-US" w:eastAsia="zh-CN"/>
              </w:rPr>
              <w:t>32</w:t>
            </w:r>
          </w:p>
        </w:tc>
        <w:tc>
          <w:tcPr>
            <w:tcW w:w="709"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w:t>
            </w:r>
          </w:p>
        </w:tc>
        <w:tc>
          <w:tcPr>
            <w:tcW w:w="790"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w:t>
            </w:r>
          </w:p>
        </w:tc>
        <w:tc>
          <w:tcPr>
            <w:tcW w:w="716" w:type="dxa"/>
            <w:noWrap w:val="0"/>
            <w:vAlign w:val="center"/>
          </w:tcPr>
          <w:p>
            <w:pPr>
              <w:widowControl/>
              <w:jc w:val="center"/>
              <w:rPr>
                <w:rFonts w:hint="eastAsia" w:ascii="仿宋" w:hAnsi="仿宋" w:eastAsia="仿宋"/>
                <w:b/>
                <w:spacing w:val="20"/>
                <w:sz w:val="18"/>
                <w:szCs w:val="18"/>
              </w:rPr>
            </w:pPr>
            <w:r>
              <w:rPr>
                <w:rFonts w:hint="eastAsia" w:ascii="仿宋" w:hAnsi="仿宋" w:eastAsia="仿宋"/>
                <w:b/>
                <w:spacing w:val="2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1" w:hRule="atLeast"/>
          <w:jc w:val="center"/>
        </w:trPr>
        <w:tc>
          <w:tcPr>
            <w:tcW w:w="1468" w:type="dxa"/>
            <w:noWrap w:val="0"/>
            <w:vAlign w:val="center"/>
          </w:tcPr>
          <w:p>
            <w:pPr>
              <w:widowControl/>
              <w:jc w:val="center"/>
              <w:rPr>
                <w:rFonts w:ascii="仿宋" w:hAnsi="仿宋" w:eastAsia="仿宋"/>
                <w:b/>
                <w:spacing w:val="20"/>
                <w:sz w:val="21"/>
                <w:szCs w:val="21"/>
              </w:rPr>
            </w:pPr>
            <w:bookmarkStart w:id="31" w:name="OLE_LINK60"/>
            <w:bookmarkStart w:id="32" w:name="OLE_LINK63"/>
            <w:r>
              <w:rPr>
                <w:rFonts w:hint="eastAsia" w:ascii="仿宋" w:hAnsi="仿宋" w:eastAsia="仿宋"/>
                <w:b/>
                <w:spacing w:val="20"/>
                <w:sz w:val="21"/>
                <w:szCs w:val="21"/>
              </w:rPr>
              <w:t>其他修读要求</w:t>
            </w:r>
          </w:p>
          <w:bookmarkEnd w:id="31"/>
          <w:bookmarkEnd w:id="32"/>
          <w:p>
            <w:pPr>
              <w:widowControl/>
              <w:jc w:val="center"/>
              <w:rPr>
                <w:rFonts w:hint="eastAsia" w:ascii="黑体" w:hAnsi="黑体" w:eastAsia="黑体"/>
                <w:bCs/>
                <w:sz w:val="18"/>
                <w:szCs w:val="18"/>
              </w:rPr>
            </w:pPr>
            <w:r>
              <w:rPr>
                <w:rFonts w:hint="eastAsia" w:ascii="仿宋" w:hAnsi="仿宋" w:eastAsia="仿宋"/>
                <w:b/>
                <w:spacing w:val="20"/>
                <w:sz w:val="21"/>
                <w:szCs w:val="21"/>
              </w:rPr>
              <w:t>（如有）</w:t>
            </w:r>
          </w:p>
        </w:tc>
        <w:tc>
          <w:tcPr>
            <w:tcW w:w="8068" w:type="dxa"/>
            <w:gridSpan w:val="12"/>
            <w:noWrap w:val="0"/>
            <w:vAlign w:val="center"/>
          </w:tcPr>
          <w:p>
            <w:pPr>
              <w:widowControl/>
              <w:rPr>
                <w:rFonts w:hint="default" w:ascii="仿宋" w:hAnsi="仿宋" w:eastAsia="仿宋"/>
                <w:b/>
                <w:spacing w:val="20"/>
                <w:sz w:val="18"/>
                <w:szCs w:val="18"/>
              </w:rPr>
            </w:pPr>
            <w:bookmarkStart w:id="33" w:name="OLE_LINK65"/>
            <w:bookmarkStart w:id="34" w:name="OLE_LINK64"/>
            <w:r>
              <w:rPr>
                <w:rFonts w:hint="default" w:ascii="仿宋" w:hAnsi="仿宋" w:eastAsia="仿宋"/>
                <w:b/>
                <w:spacing w:val="20"/>
                <w:sz w:val="18"/>
                <w:szCs w:val="18"/>
              </w:rPr>
              <w:t>以下</w:t>
            </w:r>
            <w:r>
              <w:rPr>
                <w:rFonts w:hint="eastAsia" w:ascii="仿宋" w:hAnsi="仿宋" w:eastAsia="仿宋"/>
                <w:b/>
                <w:spacing w:val="20"/>
                <w:sz w:val="18"/>
                <w:szCs w:val="18"/>
                <w:lang w:val="en-US" w:eastAsia="zh-CN"/>
              </w:rPr>
              <w:t>三</w:t>
            </w:r>
            <w:r>
              <w:rPr>
                <w:rFonts w:hint="default" w:ascii="仿宋" w:hAnsi="仿宋" w:eastAsia="仿宋"/>
                <w:b/>
                <w:spacing w:val="20"/>
                <w:sz w:val="18"/>
                <w:szCs w:val="18"/>
              </w:rPr>
              <w:t>门课程可以挑选其一</w:t>
            </w:r>
            <w:r>
              <w:rPr>
                <w:rFonts w:hint="eastAsia" w:ascii="仿宋" w:hAnsi="仿宋" w:eastAsia="仿宋"/>
                <w:b/>
                <w:spacing w:val="20"/>
                <w:sz w:val="18"/>
                <w:szCs w:val="18"/>
                <w:lang w:eastAsia="zh-CN"/>
              </w:rPr>
              <w:t>，</w:t>
            </w:r>
            <w:r>
              <w:rPr>
                <w:rFonts w:hint="default" w:ascii="仿宋" w:hAnsi="仿宋" w:eastAsia="仿宋"/>
                <w:b/>
                <w:spacing w:val="20"/>
                <w:sz w:val="18"/>
                <w:szCs w:val="18"/>
              </w:rPr>
              <w:t>完成修读</w:t>
            </w:r>
            <w:r>
              <w:rPr>
                <w:rFonts w:hint="eastAsia" w:ascii="仿宋" w:hAnsi="仿宋" w:eastAsia="仿宋"/>
                <w:b/>
                <w:spacing w:val="20"/>
                <w:sz w:val="18"/>
                <w:szCs w:val="18"/>
                <w:lang w:val="en-US" w:eastAsia="zh-CN"/>
              </w:rPr>
              <w:t>：《</w:t>
            </w:r>
            <w:r>
              <w:rPr>
                <w:rFonts w:hint="eastAsia" w:ascii="仿宋" w:hAnsi="仿宋" w:eastAsia="仿宋"/>
                <w:b/>
                <w:spacing w:val="20"/>
                <w:sz w:val="18"/>
                <w:szCs w:val="18"/>
              </w:rPr>
              <w:t>茶文化服务实习</w:t>
            </w:r>
            <w:r>
              <w:rPr>
                <w:rFonts w:hint="eastAsia" w:ascii="仿宋" w:hAnsi="仿宋" w:eastAsia="仿宋"/>
                <w:b/>
                <w:spacing w:val="20"/>
                <w:sz w:val="18"/>
                <w:szCs w:val="18"/>
                <w:lang w:eastAsia="zh-CN"/>
              </w:rPr>
              <w:t>（</w:t>
            </w:r>
            <w:r>
              <w:rPr>
                <w:rFonts w:hint="eastAsia" w:ascii="仿宋" w:hAnsi="仿宋" w:eastAsia="仿宋"/>
                <w:b/>
                <w:spacing w:val="20"/>
                <w:sz w:val="18"/>
                <w:szCs w:val="18"/>
                <w:lang w:val="en-US" w:eastAsia="zh-CN"/>
              </w:rPr>
              <w:t>含康养养旅Ai创新应用</w:t>
            </w:r>
            <w:r>
              <w:rPr>
                <w:rFonts w:hint="eastAsia" w:ascii="仿宋" w:hAnsi="仿宋" w:eastAsia="仿宋"/>
                <w:b/>
                <w:spacing w:val="20"/>
                <w:sz w:val="18"/>
                <w:szCs w:val="18"/>
                <w:lang w:eastAsia="zh-CN"/>
              </w:rPr>
              <w:t>）》、</w:t>
            </w:r>
            <w:r>
              <w:rPr>
                <w:rFonts w:hint="default" w:ascii="仿宋" w:hAnsi="仿宋" w:eastAsia="仿宋"/>
                <w:b/>
                <w:spacing w:val="20"/>
                <w:sz w:val="18"/>
                <w:szCs w:val="18"/>
              </w:rPr>
              <w:t>《茶文化与茶艺》</w:t>
            </w:r>
            <w:r>
              <w:rPr>
                <w:rFonts w:hint="eastAsia" w:ascii="仿宋" w:hAnsi="仿宋" w:eastAsia="仿宋"/>
                <w:b/>
                <w:spacing w:val="20"/>
                <w:sz w:val="18"/>
                <w:szCs w:val="18"/>
                <w:lang w:eastAsia="zh-CN"/>
              </w:rPr>
              <w:t>、</w:t>
            </w:r>
            <w:r>
              <w:rPr>
                <w:rFonts w:hint="default" w:ascii="仿宋" w:hAnsi="仿宋" w:eastAsia="仿宋"/>
                <w:b/>
                <w:spacing w:val="20"/>
                <w:sz w:val="18"/>
                <w:szCs w:val="18"/>
              </w:rPr>
              <w:t>《茶味丽水》。</w:t>
            </w:r>
          </w:p>
          <w:p>
            <w:pPr>
              <w:widowControl/>
              <w:rPr>
                <w:rFonts w:hint="eastAsia" w:ascii="仿宋" w:hAnsi="仿宋" w:eastAsia="仿宋"/>
                <w:b/>
                <w:spacing w:val="20"/>
                <w:sz w:val="18"/>
                <w:szCs w:val="18"/>
              </w:rPr>
            </w:pPr>
            <w:r>
              <w:rPr>
                <w:rFonts w:hint="eastAsia" w:ascii="仿宋" w:hAnsi="仿宋" w:eastAsia="仿宋"/>
                <w:b/>
                <w:spacing w:val="20"/>
                <w:sz w:val="18"/>
                <w:szCs w:val="18"/>
              </w:rPr>
              <w:t>能力认证：</w:t>
            </w:r>
            <w:bookmarkStart w:id="35" w:name="OLE_LINK83"/>
            <w:r>
              <w:rPr>
                <w:rFonts w:hint="default" w:ascii="仿宋" w:hAnsi="仿宋" w:eastAsia="仿宋"/>
                <w:b/>
                <w:spacing w:val="20"/>
                <w:sz w:val="18"/>
                <w:szCs w:val="18"/>
              </w:rPr>
              <w:t xml:space="preserve"> </w:t>
            </w:r>
            <w:bookmarkEnd w:id="35"/>
            <w:r>
              <w:rPr>
                <w:rFonts w:hint="default" w:ascii="仿宋" w:hAnsi="仿宋" w:eastAsia="仿宋"/>
                <w:b/>
                <w:spacing w:val="20"/>
                <w:sz w:val="18"/>
                <w:szCs w:val="18"/>
              </w:rPr>
              <w:t>二个证书必考一个证书和推荐申请一个证书。证书为教育部国家CVCC茶文化服务礼仪水平证书(中级及中级以上)、茶艺相关等级证（中级或中级以上)。</w:t>
            </w:r>
            <w:r>
              <w:rPr>
                <w:rFonts w:hint="eastAsia" w:ascii="仿宋" w:hAnsi="仿宋" w:eastAsia="仿宋"/>
                <w:b/>
                <w:spacing w:val="20"/>
                <w:sz w:val="18"/>
                <w:szCs w:val="18"/>
              </w:rPr>
              <w:t>实践达标：第一，完成至少1项茶康养方案设计（如社区茶疗服务包、茶旅IP策划）并通过答辩；第二，参与跨境茶文化传播项目（如TikTok茶文化短视频制作、国际茶展双语导览）并提交案例报告。</w:t>
            </w:r>
            <w:bookmarkEnd w:id="33"/>
            <w:bookmarkEnd w:id="3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7" w:hRule="atLeast"/>
          <w:jc w:val="center"/>
        </w:trPr>
        <w:tc>
          <w:tcPr>
            <w:tcW w:w="1468" w:type="dxa"/>
            <w:vMerge w:val="restart"/>
            <w:noWrap w:val="0"/>
            <w:vAlign w:val="center"/>
          </w:tcPr>
          <w:p>
            <w:pPr>
              <w:widowControl/>
              <w:jc w:val="center"/>
              <w:rPr>
                <w:rFonts w:hint="eastAsia" w:ascii="仿宋" w:hAnsi="仿宋" w:eastAsia="仿宋"/>
                <w:b/>
                <w:spacing w:val="20"/>
                <w:sz w:val="21"/>
                <w:szCs w:val="21"/>
              </w:rPr>
            </w:pPr>
            <w:r>
              <w:rPr>
                <w:rFonts w:hint="eastAsia" w:ascii="仿宋_GB2312" w:hAnsi="仿宋" w:eastAsia="仿宋_GB2312"/>
                <w:b/>
                <w:spacing w:val="20"/>
                <w:sz w:val="21"/>
                <w:szCs w:val="21"/>
              </w:rPr>
              <w:t>课程简介</w:t>
            </w:r>
          </w:p>
        </w:tc>
        <w:tc>
          <w:tcPr>
            <w:tcW w:w="8068" w:type="dxa"/>
            <w:gridSpan w:val="12"/>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1</w:t>
            </w:r>
            <w:r>
              <w:rPr>
                <w:rFonts w:ascii="仿宋" w:hAnsi="仿宋" w:eastAsia="仿宋"/>
                <w:b/>
                <w:spacing w:val="20"/>
                <w:sz w:val="18"/>
                <w:szCs w:val="18"/>
              </w:rPr>
              <w:t>.</w:t>
            </w:r>
            <w:r>
              <w:rPr>
                <w:rFonts w:hint="eastAsia"/>
              </w:rPr>
              <w:t xml:space="preserve"> </w:t>
            </w:r>
            <w:r>
              <w:rPr>
                <w:rFonts w:hint="eastAsia" w:ascii="黑体" w:hAnsi="黑体" w:eastAsia="黑体"/>
              </w:rPr>
              <w:t>康体养生项目设计虚拟仿真实验课程之茶康养虚拟仿真实验</w:t>
            </w:r>
            <w:r>
              <w:rPr>
                <w:rFonts w:hint="eastAsia"/>
              </w:rPr>
              <w:t>：</w:t>
            </w:r>
            <w:r>
              <w:rPr>
                <w:rFonts w:hint="eastAsia" w:ascii="仿宋" w:hAnsi="仿宋" w:eastAsia="仿宋"/>
                <w:b/>
                <w:spacing w:val="20"/>
                <w:sz w:val="18"/>
                <w:szCs w:val="18"/>
              </w:rPr>
              <w:t>本实验课程依托申报国一流虚拟仿真实验课程项目、全国生态旅游示范实验室项目、发明专利成果和独创的虚拟实验软件，通过三维虚拟仿真技术，对百山祖国家公园山场茶园、国家标准评测室等十大场景、35个茶康养仪器设备等高度还原建模，学生以体验者、项目经理和规划师三个角色，完成康养制茶、茶康养品质评测、茶康养产品设计、康养茶憩空间设计等7个核心知识点、29步交互操作的自主实验，培养具有高阶性、创新性、挑战度的康养旅游发展所需应用型人才。学生通过实验能掌握茶康养理论知识和评测技能，解决茶康养产品设计实际问题，创新实现康养研学设计。目前在国家ilab实验空间平台每年参与人数500人，并已向国内外高校、茶旅行业、华人子女全球公开课等进行推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0" w:hRule="atLeast"/>
          <w:jc w:val="center"/>
        </w:trPr>
        <w:tc>
          <w:tcPr>
            <w:tcW w:w="1468" w:type="dxa"/>
            <w:vMerge w:val="continue"/>
            <w:noWrap w:val="0"/>
            <w:vAlign w:val="center"/>
          </w:tcPr>
          <w:p>
            <w:pPr>
              <w:widowControl/>
              <w:jc w:val="center"/>
              <w:rPr>
                <w:rFonts w:hint="eastAsia" w:ascii="仿宋" w:hAnsi="仿宋" w:eastAsia="仿宋"/>
                <w:b/>
                <w:spacing w:val="20"/>
                <w:sz w:val="21"/>
                <w:szCs w:val="21"/>
              </w:rPr>
            </w:pPr>
          </w:p>
        </w:tc>
        <w:tc>
          <w:tcPr>
            <w:tcW w:w="8068" w:type="dxa"/>
            <w:gridSpan w:val="12"/>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2</w:t>
            </w:r>
            <w:r>
              <w:rPr>
                <w:rFonts w:ascii="仿宋" w:hAnsi="仿宋" w:eastAsia="仿宋"/>
                <w:b/>
                <w:spacing w:val="20"/>
                <w:sz w:val="18"/>
                <w:szCs w:val="18"/>
              </w:rPr>
              <w:t>.</w:t>
            </w:r>
            <w:bookmarkStart w:id="36" w:name="OLE_LINK46"/>
            <w:bookmarkStart w:id="37" w:name="OLE_LINK47"/>
            <w:r>
              <w:rPr>
                <w:rFonts w:hint="eastAsia" w:ascii="黑体" w:hAnsi="黑体" w:eastAsia="黑体"/>
              </w:rPr>
              <w:t xml:space="preserve"> 茶文化与茶艺：</w:t>
            </w:r>
            <w:bookmarkEnd w:id="36"/>
            <w:bookmarkEnd w:id="37"/>
            <w:r>
              <w:rPr>
                <w:rFonts w:hint="eastAsia" w:ascii="仿宋" w:hAnsi="仿宋" w:eastAsia="仿宋"/>
                <w:b/>
                <w:spacing w:val="20"/>
                <w:sz w:val="18"/>
                <w:szCs w:val="18"/>
              </w:rPr>
              <w:t>本课程是校企合作课程，以产教融合为特色，致力于培养掌握茶康养茶非遗知识和产业应用能力的策划者、传承的责任担当者、清廉茶文化践行者。课程建设历程分为五个阶段，主讲教师拥有30年的教学经验，并将教改、比赛、行业贡献成果融入教学中，获得了多项荣誉。课程在教学内容、教学模式和教学过程上进行了创新，重构教学内容，结合产业前沿，优化教学模式，创新教学过程，解决实践提质、产学研设计不足、行业前沿转化欠缺等问题。通过这些创新举措，课程将“痛点”转变为“亮点”，提升教学质量和学生的学习体验。课程成效显著，学生在各类学科竞赛中获得多项金奖，教师在教研、科教融合、社会赋能等方面取得丰硕成果。课程的产教融合理念在国内外产生广泛影响，通过国际化网络辐射至多个国家，国内多个省份和行业，提升了茶文化产业的数字化、智能化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23" w:hRule="atLeast"/>
          <w:jc w:val="center"/>
        </w:trPr>
        <w:tc>
          <w:tcPr>
            <w:tcW w:w="1468" w:type="dxa"/>
            <w:vMerge w:val="continue"/>
            <w:noWrap w:val="0"/>
            <w:vAlign w:val="center"/>
          </w:tcPr>
          <w:p>
            <w:pPr>
              <w:widowControl/>
              <w:jc w:val="center"/>
              <w:rPr>
                <w:rFonts w:hint="eastAsia" w:ascii="仿宋" w:hAnsi="仿宋" w:eastAsia="仿宋"/>
                <w:b/>
                <w:spacing w:val="20"/>
                <w:sz w:val="21"/>
                <w:szCs w:val="21"/>
              </w:rPr>
            </w:pPr>
          </w:p>
        </w:tc>
        <w:tc>
          <w:tcPr>
            <w:tcW w:w="8068" w:type="dxa"/>
            <w:gridSpan w:val="12"/>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3</w:t>
            </w:r>
            <w:r>
              <w:rPr>
                <w:rFonts w:ascii="仿宋" w:hAnsi="仿宋" w:eastAsia="仿宋"/>
                <w:b/>
                <w:spacing w:val="20"/>
                <w:sz w:val="18"/>
                <w:szCs w:val="18"/>
              </w:rPr>
              <w:t>.</w:t>
            </w:r>
            <w:r>
              <w:rPr>
                <w:rFonts w:hint="eastAsia" w:ascii="黑体" w:hAnsi="黑体" w:eastAsia="黑体"/>
              </w:rPr>
              <w:t>茶文化与茶健康：</w:t>
            </w:r>
            <w:r>
              <w:rPr>
                <w:rFonts w:hint="eastAsia" w:ascii="仿宋" w:hAnsi="仿宋" w:eastAsia="仿宋"/>
                <w:b/>
                <w:spacing w:val="20"/>
                <w:sz w:val="18"/>
                <w:szCs w:val="18"/>
              </w:rPr>
              <w:t>本课程由浙江大学王岳飞教授主讲，在中国大学生MOOC平台和智慧树网上在线开放课程，该课程从“茶产业”“茶文化”“茶科学”“茶生活”四个维度展开，打造全国茶学通识教育体系的标杆课程。课程内容丰富多样，涵盖茶的历史、品种、茶类、品评、文化、践行、审美、健康、传播等多个方面，全面阐述茶的文化内涵和健康价值。线上线下混合式教学：课程不仅有线下的通识核心课程，还积极开展线上课程建设和线上线下混合式教学实践。2011年上线的视频公开课累计点击量达3000多万人次，获评国家级精品视频公开课。</w:t>
            </w:r>
          </w:p>
          <w:p>
            <w:pPr>
              <w:widowControl/>
              <w:jc w:val="left"/>
              <w:rPr>
                <w:rFonts w:hint="eastAsia" w:ascii="仿宋" w:hAnsi="仿宋" w:eastAsia="仿宋"/>
                <w:b/>
                <w:spacing w:val="2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1" w:hRule="atLeast"/>
          <w:jc w:val="center"/>
        </w:trPr>
        <w:tc>
          <w:tcPr>
            <w:tcW w:w="1468" w:type="dxa"/>
            <w:vMerge w:val="continue"/>
            <w:noWrap w:val="0"/>
            <w:vAlign w:val="center"/>
          </w:tcPr>
          <w:p>
            <w:pPr>
              <w:widowControl/>
              <w:jc w:val="center"/>
              <w:rPr>
                <w:rFonts w:hint="eastAsia" w:ascii="仿宋" w:hAnsi="仿宋" w:eastAsia="仿宋"/>
                <w:b/>
                <w:spacing w:val="20"/>
                <w:sz w:val="21"/>
                <w:szCs w:val="21"/>
              </w:rPr>
            </w:pPr>
          </w:p>
        </w:tc>
        <w:tc>
          <w:tcPr>
            <w:tcW w:w="8068" w:type="dxa"/>
            <w:gridSpan w:val="12"/>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4</w:t>
            </w:r>
            <w:r>
              <w:rPr>
                <w:rFonts w:ascii="仿宋" w:hAnsi="仿宋" w:eastAsia="仿宋"/>
                <w:b/>
                <w:spacing w:val="20"/>
                <w:sz w:val="18"/>
                <w:szCs w:val="18"/>
              </w:rPr>
              <w:t>.</w:t>
            </w:r>
            <w:r>
              <w:rPr>
                <w:rFonts w:hint="eastAsia" w:ascii="黑体" w:hAnsi="黑体" w:eastAsia="黑体"/>
              </w:rPr>
              <w:t xml:space="preserve"> 茶养生与茶疗</w:t>
            </w:r>
            <w:r>
              <w:rPr>
                <w:rFonts w:hint="eastAsia" w:ascii="仿宋" w:hAnsi="仿宋" w:eastAsia="仿宋"/>
                <w:b/>
                <w:spacing w:val="20"/>
                <w:sz w:val="18"/>
                <w:szCs w:val="18"/>
              </w:rPr>
              <w:t>：本课程是校本通识课程，是丽水学院依托产教融合模式打造的特色课程，以茶科学、茶文化为核心，融合健康养生理论，培养服务茶产业的高素质应用型人才。课程以“三茶统筹”为理念，贯穿清廉茶文化、养生智慧与浙西南民族精神，赋能乡村振兴与茶产业升级。2006年建课始，获国家级微课大赛三等奖、省级微课大赛一等奖和省级教学创新大赛二等奖、省课程思政优秀微课等荣誉，入选申报国家级一流虚拟仿真实验课程，国家ilab实验空间、学习通、等线上资源覆盖28000学员。团队出版《第一次品绿茶就上手》等5部教材及4部专著，发表9篇核心论文，获2项发明专利、4项实用新型专利及10项软件著作权，校企共建龙泉市光明野生红茶研究所等平台，推动有机茶认证、茶品研发等技术创新。课程特色，采用“五全”场景模拟茶叶加工、品质检测等全流程，结合虚拟仿真实验平台等多元教学模式。实现产教深度融合：与茶企共建“三有”实践基地、茶新业态实验室，引入企业首席技师、非遗传承人组建双导师团队，通过“EP实践项目”促进学生参与茶品研发、茶旅设计，实现科技成果转化。文化赋能育人：以茶艺实训、中华茶奥会、国际武林斗茶大会为载体，融入茶德修养与思政教育，培养兼具职业技能与文化自信的茶业人才。核心目标：知识应用：通过情境化案例教学，提升学生解决茶产业实际问题的能力；创新实践：联合企业开展茶康养产品开发、电商运营等项目，强化实践与创新能力；团队中三位老师、学生24人获国家级学科竞赛奖项。社会贡献：本课程持续深化“校企协同、三链互通”机制，课程成果助力茶品牌出海、茶康养旅游等新业态发展，牵头制定地方茶标准，全球华人子女公开课推动茶文化国际传播。为茶产业高质量发展提供人才与科技支撑，致力成为中华茶文化传承创新的标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4" w:hRule="atLeast"/>
          <w:jc w:val="center"/>
        </w:trPr>
        <w:tc>
          <w:tcPr>
            <w:tcW w:w="1468" w:type="dxa"/>
            <w:vMerge w:val="continue"/>
            <w:noWrap w:val="0"/>
            <w:vAlign w:val="center"/>
          </w:tcPr>
          <w:p>
            <w:pPr>
              <w:widowControl/>
              <w:jc w:val="center"/>
              <w:rPr>
                <w:rFonts w:hint="eastAsia" w:ascii="仿宋" w:hAnsi="仿宋" w:eastAsia="仿宋"/>
                <w:b/>
                <w:spacing w:val="20"/>
                <w:sz w:val="21"/>
                <w:szCs w:val="21"/>
              </w:rPr>
            </w:pPr>
          </w:p>
        </w:tc>
        <w:tc>
          <w:tcPr>
            <w:tcW w:w="8068" w:type="dxa"/>
            <w:gridSpan w:val="12"/>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5</w:t>
            </w:r>
            <w:r>
              <w:rPr>
                <w:rFonts w:ascii="仿宋" w:hAnsi="仿宋" w:eastAsia="仿宋"/>
                <w:b/>
                <w:spacing w:val="20"/>
                <w:sz w:val="18"/>
                <w:szCs w:val="18"/>
              </w:rPr>
              <w:t>.</w:t>
            </w:r>
            <w:bookmarkStart w:id="38" w:name="OLE_LINK56"/>
            <w:bookmarkStart w:id="39" w:name="OLE_LINK55"/>
            <w:bookmarkStart w:id="40" w:name="OLE_LINK58"/>
            <w:r>
              <w:rPr>
                <w:rFonts w:hint="eastAsia" w:ascii="黑体" w:hAnsi="黑体" w:eastAsia="黑体"/>
                <w:b/>
                <w:spacing w:val="20"/>
                <w:sz w:val="18"/>
                <w:szCs w:val="18"/>
              </w:rPr>
              <w:t>膳食营养学</w:t>
            </w:r>
            <w:bookmarkEnd w:id="38"/>
            <w:bookmarkEnd w:id="39"/>
            <w:bookmarkEnd w:id="40"/>
            <w:r>
              <w:rPr>
                <w:rFonts w:hint="eastAsia" w:ascii="黑体" w:hAnsi="黑体" w:eastAsia="黑体"/>
                <w:b/>
                <w:spacing w:val="20"/>
                <w:sz w:val="18"/>
                <w:szCs w:val="18"/>
              </w:rPr>
              <w:t>：</w:t>
            </w:r>
            <w:r>
              <w:rPr>
                <w:rFonts w:hint="eastAsia" w:ascii="仿宋" w:hAnsi="仿宋" w:eastAsia="仿宋"/>
                <w:b/>
                <w:spacing w:val="20"/>
                <w:sz w:val="18"/>
                <w:szCs w:val="18"/>
              </w:rPr>
              <w:t>本课程以“健康中国2030”战略为背景，立足通识教育核心课定位，系统讲授膳食营养学基础理论与实用技能，帮助学生建立科学的饮食观念与实践能力，旨在培养学生成为具备基础营养评估技能的健康倡导者，助力学生膳食健康水平提升。课程内容涵盖人体七大营养素（蛋白质、脂肪、碳水化合物、维生素、矿物质、水、膳食纤维）的生理功能与摄入标准，结合《中国居民膳食指南（2022）》解析平衡膳食宝塔的实际应用；探讨食物营养价值、加工影响及全球健康饮食模式，设计个性化膳食方案。课程融入“未病先防”理念与营养流行病学前沿成果，结合中医食疗理论与现代营养学，提供调理策略。通过案例教学、在线模拟营养咨询及膳食计算、食谱设计等实训环节，强化学生解决实际问题的能力。考核总分达85分可</w:t>
            </w:r>
            <w:bookmarkStart w:id="41" w:name="OLE_LINK82"/>
            <w:bookmarkStart w:id="42" w:name="OLE_LINK81"/>
            <w:r>
              <w:rPr>
                <w:rFonts w:hint="eastAsia" w:ascii="仿宋" w:hAnsi="仿宋" w:eastAsia="仿宋"/>
                <w:b/>
                <w:spacing w:val="20"/>
                <w:sz w:val="18"/>
                <w:szCs w:val="18"/>
              </w:rPr>
              <w:t>申请中国营养学会认证证书</w:t>
            </w:r>
            <w:bookmarkEnd w:id="41"/>
            <w:bookmarkEnd w:id="42"/>
            <w:r>
              <w:rPr>
                <w:rFonts w:hint="eastAsia" w:ascii="仿宋" w:hAnsi="仿宋" w:eastAsia="仿宋"/>
                <w:b/>
                <w:spacing w:val="20"/>
                <w:sz w:val="18"/>
                <w:szCs w:val="18"/>
              </w:rPr>
              <w:t>。</w:t>
            </w:r>
          </w:p>
          <w:p>
            <w:pPr>
              <w:widowControl/>
              <w:jc w:val="left"/>
              <w:rPr>
                <w:rFonts w:hint="eastAsia" w:ascii="仿宋" w:hAnsi="仿宋" w:eastAsia="仿宋"/>
                <w:b/>
                <w:spacing w:val="2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0" w:hRule="atLeast"/>
          <w:jc w:val="center"/>
        </w:trPr>
        <w:tc>
          <w:tcPr>
            <w:tcW w:w="1468" w:type="dxa"/>
            <w:vMerge w:val="continue"/>
            <w:noWrap w:val="0"/>
            <w:vAlign w:val="center"/>
          </w:tcPr>
          <w:p>
            <w:pPr>
              <w:widowControl/>
              <w:jc w:val="center"/>
              <w:rPr>
                <w:rFonts w:hint="eastAsia" w:ascii="仿宋" w:hAnsi="仿宋" w:eastAsia="仿宋"/>
                <w:b/>
                <w:spacing w:val="20"/>
                <w:sz w:val="21"/>
                <w:szCs w:val="21"/>
              </w:rPr>
            </w:pPr>
          </w:p>
        </w:tc>
        <w:tc>
          <w:tcPr>
            <w:tcW w:w="8068" w:type="dxa"/>
            <w:gridSpan w:val="12"/>
            <w:noWrap w:val="0"/>
            <w:vAlign w:val="center"/>
          </w:tcPr>
          <w:p>
            <w:pPr>
              <w:widowControl/>
              <w:jc w:val="left"/>
              <w:rPr>
                <w:rFonts w:hint="eastAsia" w:ascii="仿宋" w:hAnsi="仿宋" w:eastAsia="仿宋"/>
                <w:b/>
                <w:spacing w:val="20"/>
                <w:sz w:val="18"/>
                <w:szCs w:val="18"/>
              </w:rPr>
            </w:pPr>
            <w:r>
              <w:rPr>
                <w:rFonts w:hint="eastAsia" w:ascii="仿宋" w:hAnsi="仿宋" w:eastAsia="仿宋"/>
                <w:b/>
                <w:spacing w:val="20"/>
                <w:sz w:val="18"/>
                <w:szCs w:val="18"/>
              </w:rPr>
              <w:t>6.</w:t>
            </w:r>
            <w:bookmarkStart w:id="43" w:name="OLE_LINK61"/>
            <w:bookmarkStart w:id="44" w:name="OLE_LINK62"/>
            <w:r>
              <w:rPr>
                <w:rFonts w:hint="eastAsia" w:ascii="黑体" w:hAnsi="黑体" w:eastAsia="黑体"/>
                <w:b/>
                <w:spacing w:val="20"/>
                <w:sz w:val="18"/>
                <w:szCs w:val="18"/>
              </w:rPr>
              <w:t>茶味丽水</w:t>
            </w:r>
            <w:bookmarkEnd w:id="43"/>
            <w:bookmarkEnd w:id="44"/>
            <w:r>
              <w:rPr>
                <w:rFonts w:hint="eastAsia" w:ascii="黑体" w:hAnsi="黑体" w:eastAsia="黑体"/>
                <w:b/>
                <w:spacing w:val="20"/>
                <w:sz w:val="18"/>
                <w:szCs w:val="18"/>
              </w:rPr>
              <w:t>：</w:t>
            </w:r>
            <w:r>
              <w:rPr>
                <w:rFonts w:hint="eastAsia" w:ascii="仿宋" w:hAnsi="仿宋" w:eastAsia="仿宋"/>
                <w:b/>
                <w:spacing w:val="20"/>
                <w:sz w:val="18"/>
                <w:szCs w:val="18"/>
              </w:rPr>
              <w:t>本课程始于中国侨联“亲情中华”的全球华人子女茶文化公开课，辐射至130个国家获一到好评。在此基础上设计了短学期实践周国际化的特色课程，最初主要参加者为丽水专业留学生和本校去国外大学的交换生，现在扩容开放给全校学生。依托古堰画乡文旅研究所、丽水市茶叶博物馆及龙泉市岩樟乡“桃源茶事活动”三大实践基地，以茶文化为纽带，融合自然生态、历史人文与当代发展，为留学生打造沉浸式的中国文化体验。课程以“感知茶香里的中国”为主线，通过两周的深度实践，引导学生从一片茶叶的生长、制作、品饮中读懂丽水的山水禀赋与人文智慧。在丽水市茶叶博物馆，学生将系统学习中国茶史与茶道哲学，观摩国家级非遗传承人的茶艺展演，亲手体验绿茶、红茶的传统制茶工艺；走进岩樟乡百年野生茶园，学生将跟随茶农攀爬云雾缭绕的生态茶园，采摘天然无污染的荒野茶青，在合作社现代制茶车间见证茶叶从萎凋到烘焙的全流程，品味“一叶千金”的岩樟野放红茶所蕴含的生态保护与产业振兴故事；古堰画乡的茶会旅拍比赛则巧妙串联起千年通济堰水利智慧与当代微视频的艺术创作，学生在瓯江畔的茶席间以茶会友，用视频记录茶山与古镇交融的诗意场景。课程还特别设计“茶+”文化对话模块：在畲族村落体验“采柿子”传统体育后共饮雷笋茶，探讨少数民族茶俗；于校园茶研会的全民饮茶日和茶博国际茶日的 “一茶一世界”活动中DIY创意茶包，结合现代健康理念创新茶饮；结业式上，留学生将以跨文化视角策划中华茶奥会“我与丽水茶的故事”主题沙龙，用茶艺展演、影像记录、多语种解说等形式，讲述茶文化如何成为文明互鉴的“世界语”。通过理论与实践交融</w:t>
            </w:r>
            <w:bookmarkStart w:id="45" w:name="OLE_LINK57"/>
            <w:bookmarkStart w:id="46" w:name="OLE_LINK59"/>
            <w:r>
              <w:rPr>
                <w:rFonts w:hint="eastAsia" w:ascii="仿宋" w:hAnsi="仿宋" w:eastAsia="仿宋"/>
                <w:b/>
                <w:spacing w:val="20"/>
                <w:sz w:val="18"/>
                <w:szCs w:val="18"/>
              </w:rPr>
              <w:t>、传统与现代对话的多元路径，课程旨在让留学生在茶香浸润中读懂“绿水青山就是金山银山”的丽水实践，成为中华文化国际传播的青春使者。</w:t>
            </w:r>
            <w:bookmarkEnd w:id="45"/>
            <w:bookmarkEnd w:id="46"/>
          </w:p>
          <w:p>
            <w:pPr>
              <w:widowControl/>
              <w:jc w:val="left"/>
              <w:rPr>
                <w:rFonts w:hint="eastAsia" w:ascii="仿宋" w:hAnsi="仿宋" w:eastAsia="仿宋"/>
                <w:b/>
                <w:spacing w:val="2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0" w:hRule="atLeast"/>
          <w:jc w:val="center"/>
        </w:trPr>
        <w:tc>
          <w:tcPr>
            <w:tcW w:w="1468" w:type="dxa"/>
            <w:noWrap w:val="0"/>
            <w:vAlign w:val="center"/>
          </w:tcPr>
          <w:p>
            <w:pPr>
              <w:widowControl/>
              <w:jc w:val="center"/>
              <w:rPr>
                <w:rFonts w:hint="eastAsia" w:ascii="仿宋" w:hAnsi="仿宋" w:eastAsia="仿宋"/>
                <w:b/>
                <w:spacing w:val="20"/>
                <w:sz w:val="21"/>
                <w:szCs w:val="21"/>
              </w:rPr>
            </w:pPr>
          </w:p>
        </w:tc>
        <w:tc>
          <w:tcPr>
            <w:tcW w:w="8068" w:type="dxa"/>
            <w:gridSpan w:val="12"/>
            <w:noWrap w:val="0"/>
            <w:vAlign w:val="center"/>
          </w:tcPr>
          <w:p>
            <w:pPr>
              <w:widowControl/>
              <w:jc w:val="left"/>
              <w:rPr>
                <w:rFonts w:ascii="仿宋" w:hAnsi="仿宋" w:eastAsia="仿宋"/>
                <w:b/>
                <w:spacing w:val="20"/>
                <w:sz w:val="18"/>
                <w:szCs w:val="18"/>
              </w:rPr>
            </w:pPr>
            <w:r>
              <w:rPr>
                <w:rFonts w:hint="eastAsia" w:ascii="仿宋" w:hAnsi="仿宋" w:eastAsia="仿宋"/>
                <w:b/>
                <w:spacing w:val="20"/>
                <w:sz w:val="18"/>
                <w:szCs w:val="18"/>
              </w:rPr>
              <w:t>7.</w:t>
            </w:r>
            <w:r>
              <w:rPr>
                <w:rFonts w:hint="eastAsia" w:ascii="黑体" w:hAnsi="黑体" w:eastAsia="黑体"/>
                <w:b/>
                <w:spacing w:val="20"/>
                <w:sz w:val="18"/>
                <w:szCs w:val="18"/>
              </w:rPr>
              <w:t>茶文化服务实习（含康养养旅Ai创新应用）：</w:t>
            </w:r>
            <w:r>
              <w:rPr>
                <w:rFonts w:hint="eastAsia" w:ascii="仿宋" w:hAnsi="仿宋" w:eastAsia="仿宋"/>
                <w:b/>
                <w:spacing w:val="20"/>
                <w:sz w:val="18"/>
                <w:szCs w:val="18"/>
              </w:rPr>
              <w:t>《茶文化服务实习》是</w:t>
            </w:r>
            <w:r>
              <w:rPr>
                <w:rFonts w:hint="eastAsia" w:ascii="仿宋" w:hAnsi="仿宋" w:eastAsia="仿宋"/>
                <w:b/>
                <w:spacing w:val="20"/>
                <w:sz w:val="18"/>
                <w:szCs w:val="18"/>
                <w:lang w:val="en-US" w:eastAsia="zh-CN"/>
              </w:rPr>
              <w:t>本微</w:t>
            </w:r>
            <w:r>
              <w:rPr>
                <w:rFonts w:hint="eastAsia" w:ascii="仿宋" w:hAnsi="仿宋" w:eastAsia="仿宋"/>
                <w:b/>
                <w:spacing w:val="20"/>
                <w:sz w:val="18"/>
                <w:szCs w:val="18"/>
              </w:rPr>
              <w:t>专业一门重要的实践课程，旨在通过理论与实践相结合的方式，培养学生扎实的茶艺服务技能和良好的职业素养。课程内容丰富多样，涵盖茶艺服务的各个环节，从茶叶基础知识、茶文化演变到茶馆服务技巧等，让学生全面了解茶艺服务的内涵。实践环节占比达66.7%，通过冲泡技能练习、茶品推荐、对客服务等实际操作，强化学生对理论知识的理解和应用。课程还采用分层递进式教学法，由浅入深，逐步引导学生掌握唐代煮茶、宋韵点茶、茶道插花、茶道香道、芳香疗愈等高端茶文化茶艺服务的精髓。同时，课程融入思政元素，如红色旅游精神、乡村振兴等，培养学生的爱国精神和文化自信。通过模拟国家中级茶艺师技能等级考核，学生能够检验所学，提升实践能力，为未来的职业发展打下坚实基础。</w:t>
            </w:r>
            <w:r>
              <w:rPr>
                <w:rFonts w:hint="eastAsia" w:ascii="仿宋" w:hAnsi="仿宋" w:eastAsia="仿宋"/>
                <w:b/>
                <w:spacing w:val="20"/>
                <w:sz w:val="18"/>
                <w:szCs w:val="18"/>
                <w:lang w:val="en-US" w:eastAsia="zh-CN"/>
              </w:rPr>
              <w:t>含</w:t>
            </w:r>
            <w:r>
              <w:rPr>
                <w:rFonts w:hint="eastAsia" w:ascii="仿宋" w:hAnsi="仿宋" w:eastAsia="仿宋"/>
                <w:b/>
                <w:spacing w:val="20"/>
                <w:sz w:val="18"/>
                <w:szCs w:val="18"/>
              </w:rPr>
              <w:t>康养养旅Ai创新应用</w:t>
            </w:r>
            <w:r>
              <w:rPr>
                <w:rFonts w:hint="eastAsia" w:ascii="仿宋" w:hAnsi="仿宋" w:eastAsia="仿宋"/>
                <w:b/>
                <w:spacing w:val="20"/>
                <w:sz w:val="18"/>
                <w:szCs w:val="18"/>
                <w:lang w:val="en-US" w:eastAsia="zh-CN"/>
              </w:rPr>
              <w:t>有内容，</w:t>
            </w:r>
            <w:r>
              <w:rPr>
                <w:rFonts w:hint="eastAsia" w:ascii="仿宋" w:hAnsi="仿宋" w:eastAsia="仿宋"/>
                <w:b/>
                <w:spacing w:val="20"/>
                <w:sz w:val="18"/>
                <w:szCs w:val="18"/>
              </w:rPr>
              <w:t>围绕“康养、茶文化、旅游与人工智能融合创新”展开，通过案例讲解和实际应用体验，介绍生成式AI在茶旅宣传、活动策划、文案创作、视觉设计、智能导览、游客服务及文旅产品创新等场景中的应用。课程结合古堰画乡等地方文旅资源，引导学习者思考如何利用AI提升茶旅项目的内容生产效率、服务体验和创新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0" w:hRule="atLeast"/>
          <w:jc w:val="center"/>
        </w:trPr>
        <w:tc>
          <w:tcPr>
            <w:tcW w:w="1468" w:type="dxa"/>
            <w:tcBorders>
              <w:bottom w:val="single" w:color="auto" w:sz="4" w:space="0"/>
            </w:tcBorders>
            <w:noWrap w:val="0"/>
            <w:vAlign w:val="center"/>
          </w:tcPr>
          <w:p>
            <w:pPr>
              <w:widowControl/>
              <w:jc w:val="center"/>
              <w:rPr>
                <w:rFonts w:hint="eastAsia" w:ascii="仿宋" w:hAnsi="仿宋" w:eastAsia="仿宋"/>
                <w:b/>
                <w:spacing w:val="20"/>
                <w:sz w:val="21"/>
                <w:szCs w:val="21"/>
              </w:rPr>
            </w:pPr>
          </w:p>
        </w:tc>
        <w:tc>
          <w:tcPr>
            <w:tcW w:w="8068" w:type="dxa"/>
            <w:gridSpan w:val="12"/>
            <w:tcBorders>
              <w:bottom w:val="single" w:color="auto" w:sz="4" w:space="0"/>
            </w:tcBorders>
            <w:noWrap w:val="0"/>
            <w:vAlign w:val="center"/>
          </w:tcPr>
          <w:p>
            <w:pPr>
              <w:widowControl/>
              <w:jc w:val="left"/>
              <w:rPr>
                <w:rFonts w:ascii="仿宋" w:hAnsi="仿宋" w:eastAsia="仿宋"/>
                <w:b/>
                <w:spacing w:val="20"/>
                <w:sz w:val="18"/>
                <w:szCs w:val="18"/>
              </w:rPr>
            </w:pPr>
            <w:r>
              <w:rPr>
                <w:rFonts w:hint="eastAsia" w:ascii="仿宋" w:hAnsi="仿宋" w:eastAsia="仿宋"/>
                <w:b/>
                <w:spacing w:val="20"/>
                <w:sz w:val="18"/>
                <w:szCs w:val="18"/>
              </w:rPr>
              <w:t>8.</w:t>
            </w:r>
            <w:r>
              <w:rPr>
                <w:rFonts w:hint="eastAsia" w:ascii="黑体" w:hAnsi="黑体" w:eastAsia="黑体"/>
                <w:b/>
                <w:spacing w:val="20"/>
                <w:sz w:val="18"/>
                <w:szCs w:val="18"/>
              </w:rPr>
              <w:t>处州沉浸式茶文化</w:t>
            </w:r>
            <w:r>
              <w:rPr>
                <w:rFonts w:hint="eastAsia" w:ascii="仿宋" w:hAnsi="仿宋" w:eastAsia="仿宋"/>
                <w:b/>
                <w:spacing w:val="20"/>
                <w:sz w:val="18"/>
                <w:szCs w:val="18"/>
              </w:rPr>
              <w:t>：《处州沉浸式茶文化》是一门丽水学院与政府部门精心打造的线上课程，链接共享在合作的省级老干部局及丽水市老年大学课程平台上，获得好评。本课程旨在带领学员深入领略处州地区独特而丰富的茶文化魅力。课程共分为十个章节，每个章节都通过精彩的视频内容，为学员呈现茶文化的不同侧面。从百山祖国家公园的茶康养虚拟仿真研学出发，学员们将跟随茶宝宝这一活泼的虚拟形象，开启一场线上茶文化之旅。课程不仅涵盖了“无我”茶会的深厚内涵与开展形式，还深入探讨了中国斗茶的七大技巧，让学员感受斗茶文化的独特魅力。同时，结合非遗点茶与锻造技术的水丹青技巧，展现了传统技艺的创新融合。丽水“600”正念饮茶养生与“800”康养茶疗章节，则从生态与健康的角度，阐述了茶与自然的和谐共生。中国茶礼的讲解，让学员深入了解传统礼仪在茶文化中的体现。龙窑青瓷古法功夫茶研学章节，更是将茶文化与陶瓷艺术完美结合。浙西南革命老区红茶瀹饮法冲泡技艺章节，展现了红色文化与茶文化的交融。而清廉三道茶章节，则以茶为媒，传递廉洁自律的价值观。整个课程内容丰富多样，通过生动的视频讲解、实地演示以及文化背景剖析，让学员仿佛身临其境，全方位感受处州茶文化的博大精深，是一门不可多得的文化体验课程。</w:t>
            </w:r>
          </w:p>
        </w:tc>
      </w:tr>
      <w:bookmarkEnd w:id="12"/>
      <w:bookmarkEnd w:id="13"/>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D42164"/>
    <w:rsid w:val="082D6AB5"/>
    <w:rsid w:val="0DE379F1"/>
    <w:rsid w:val="1F1B770B"/>
    <w:rsid w:val="274E2D73"/>
    <w:rsid w:val="2F39519C"/>
    <w:rsid w:val="3598696A"/>
    <w:rsid w:val="3F4A1C1A"/>
    <w:rsid w:val="40B10D11"/>
    <w:rsid w:val="4584284A"/>
    <w:rsid w:val="49D42164"/>
    <w:rsid w:val="50411A02"/>
    <w:rsid w:val="5BFB096D"/>
    <w:rsid w:val="61E65FC9"/>
    <w:rsid w:val="69EF2DE2"/>
    <w:rsid w:val="75004176"/>
    <w:rsid w:val="78110666"/>
    <w:rsid w:val="7A195E96"/>
    <w:rsid w:val="7B150B73"/>
    <w:rsid w:val="7B811F45"/>
    <w:rsid w:val="7D7AC43D"/>
    <w:rsid w:val="7EBFE46D"/>
    <w:rsid w:val="8FFB381A"/>
    <w:rsid w:val="95BF9D89"/>
    <w:rsid w:val="ED2677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2118</Words>
  <Characters>2265</Characters>
  <Lines>0</Lines>
  <Paragraphs>0</Paragraphs>
  <TotalTime>3</TotalTime>
  <ScaleCrop>false</ScaleCrop>
  <LinksUpToDate>false</LinksUpToDate>
  <CharactersWithSpaces>2270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2026-03-14T20:19:00Z</dcterms:created>
  <dc:creator>雅心</dc:creator>
  <cp:lastModifiedBy>泽铭@杨</cp:lastModifiedBy>
  <dcterms:modified xsi:type="dcterms:W3CDTF">2026-11-05T08:58:00Z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47B2A2DBC1464EB4A536B430E4F32314_13</vt:lpwstr>
  </property>
  <property fmtid="{D5CDD505-2E9C-101B-9397-08002B2CF9AE}" pid="4" name="KSOTemplateDocerSaveRecord">
    <vt:lpwstr>eyJoZGlkIjoiNGEzMDQwNDZiNDNiZDJhMjljMWEwZmVhYjI2NjU2NDkiLCJ1c2VySWQiOiIxNzM4MDUwNjY3In0=</vt:lpwstr>
  </property>
</Properties>
</file>